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9BC" w:rsidRPr="00FB5B8C" w:rsidRDefault="00C529BC" w:rsidP="00C97788">
      <w:pPr>
        <w:spacing w:after="0" w:line="360" w:lineRule="auto"/>
        <w:ind w:firstLine="4253"/>
        <w:jc w:val="right"/>
        <w:rPr>
          <w:rFonts w:ascii="Times New Roman" w:hAnsi="Times New Roman"/>
          <w:b/>
          <w:sz w:val="28"/>
          <w:szCs w:val="28"/>
          <w:lang w:val="en-US"/>
        </w:rPr>
      </w:pPr>
      <w:r w:rsidRPr="00FB5B8C">
        <w:rPr>
          <w:rFonts w:ascii="Times New Roman" w:hAnsi="Times New Roman"/>
          <w:b/>
          <w:sz w:val="28"/>
          <w:szCs w:val="28"/>
          <w:lang w:val="en-US"/>
        </w:rPr>
        <w:t xml:space="preserve">Temurbek Usmanov </w:t>
      </w:r>
    </w:p>
    <w:p w:rsidR="00C529BC" w:rsidRPr="00FB5B8C" w:rsidRDefault="00C529BC" w:rsidP="00C97788">
      <w:pPr>
        <w:spacing w:after="0" w:line="360" w:lineRule="auto"/>
        <w:jc w:val="right"/>
        <w:rPr>
          <w:rFonts w:ascii="Times New Roman" w:hAnsi="Times New Roman"/>
          <w:b/>
          <w:sz w:val="28"/>
          <w:szCs w:val="28"/>
          <w:lang w:val="en-US"/>
        </w:rPr>
      </w:pPr>
      <w:r w:rsidRPr="00FB5B8C">
        <w:rPr>
          <w:rFonts w:ascii="Times New Roman" w:hAnsi="Times New Roman"/>
          <w:b/>
          <w:sz w:val="28"/>
          <w:szCs w:val="28"/>
          <w:lang w:val="en-US"/>
        </w:rPr>
        <w:t>(</w:t>
      </w:r>
      <w:smartTag w:uri="urn:schemas-microsoft-com:office:smarttags" w:element="City">
        <w:smartTag w:uri="urn:schemas-microsoft-com:office:smarttags" w:element="place">
          <w:r w:rsidRPr="00FB5B8C">
            <w:rPr>
              <w:rFonts w:ascii="Times New Roman" w:hAnsi="Times New Roman"/>
              <w:b/>
              <w:sz w:val="28"/>
              <w:szCs w:val="28"/>
              <w:lang w:val="en-US"/>
            </w:rPr>
            <w:t>Tashkent</w:t>
          </w:r>
        </w:smartTag>
        <w:r w:rsidRPr="00FB5B8C">
          <w:rPr>
            <w:rFonts w:ascii="Times New Roman" w:hAnsi="Times New Roman"/>
            <w:b/>
            <w:sz w:val="28"/>
            <w:szCs w:val="28"/>
            <w:lang w:val="en-US"/>
          </w:rPr>
          <w:t xml:space="preserve">, </w:t>
        </w:r>
        <w:smartTag w:uri="urn:schemas-microsoft-com:office:smarttags" w:element="country-region">
          <w:r w:rsidRPr="00FB5B8C">
            <w:rPr>
              <w:rFonts w:ascii="Times New Roman" w:hAnsi="Times New Roman"/>
              <w:b/>
              <w:sz w:val="28"/>
              <w:szCs w:val="28"/>
              <w:lang w:val="en-US"/>
            </w:rPr>
            <w:t>Uzbekistan</w:t>
          </w:r>
        </w:smartTag>
      </w:smartTag>
      <w:r w:rsidRPr="00FB5B8C">
        <w:rPr>
          <w:rFonts w:ascii="Times New Roman" w:hAnsi="Times New Roman"/>
          <w:b/>
          <w:sz w:val="28"/>
          <w:szCs w:val="28"/>
          <w:lang w:val="en-US"/>
        </w:rPr>
        <w:t>)</w:t>
      </w:r>
    </w:p>
    <w:p w:rsidR="00C529BC" w:rsidRDefault="00C529BC" w:rsidP="001675C3">
      <w:pPr>
        <w:spacing w:after="0" w:line="360" w:lineRule="auto"/>
        <w:jc w:val="right"/>
        <w:rPr>
          <w:rFonts w:ascii="Times New Roman" w:hAnsi="Times New Roman"/>
          <w:b/>
          <w:sz w:val="28"/>
          <w:szCs w:val="28"/>
          <w:lang w:val="en-US"/>
        </w:rPr>
      </w:pPr>
    </w:p>
    <w:p w:rsidR="00C529BC" w:rsidRDefault="00C529BC" w:rsidP="001675C3">
      <w:pPr>
        <w:spacing w:after="0" w:line="360" w:lineRule="auto"/>
        <w:jc w:val="center"/>
        <w:rPr>
          <w:rFonts w:ascii="Times New Roman" w:hAnsi="Times New Roman"/>
          <w:b/>
          <w:sz w:val="28"/>
          <w:szCs w:val="28"/>
          <w:lang w:val="en-US"/>
        </w:rPr>
      </w:pPr>
      <w:r>
        <w:rPr>
          <w:rFonts w:ascii="Times New Roman" w:hAnsi="Times New Roman"/>
          <w:b/>
          <w:sz w:val="28"/>
          <w:szCs w:val="28"/>
          <w:lang w:val="en-US"/>
        </w:rPr>
        <w:t xml:space="preserve">STEADY DEVELOPMENT OF THE BANKING SYSTEM OF </w:t>
      </w:r>
      <w:smartTag w:uri="urn:schemas-microsoft-com:office:smarttags" w:element="country-region">
        <w:r>
          <w:rPr>
            <w:rFonts w:ascii="Times New Roman" w:hAnsi="Times New Roman"/>
            <w:b/>
            <w:sz w:val="28"/>
            <w:szCs w:val="28"/>
            <w:lang w:val="en-US"/>
          </w:rPr>
          <w:t>UZBEKISTAN</w:t>
        </w:r>
      </w:smartTag>
    </w:p>
    <w:p w:rsidR="00C529BC" w:rsidRDefault="00C529BC" w:rsidP="001675C3">
      <w:pPr>
        <w:spacing w:after="0" w:line="360" w:lineRule="auto"/>
        <w:jc w:val="center"/>
        <w:rPr>
          <w:rFonts w:ascii="Times New Roman" w:hAnsi="Times New Roman"/>
          <w:b/>
          <w:sz w:val="28"/>
          <w:szCs w:val="28"/>
          <w:lang w:val="en-US"/>
        </w:rPr>
      </w:pPr>
    </w:p>
    <w:p w:rsidR="00C529BC" w:rsidRDefault="00C529BC" w:rsidP="004E2516">
      <w:pPr>
        <w:spacing w:after="0" w:line="360" w:lineRule="auto"/>
        <w:ind w:firstLine="709"/>
        <w:jc w:val="both"/>
        <w:rPr>
          <w:rFonts w:ascii="Times New Roman" w:hAnsi="Times New Roman"/>
          <w:sz w:val="28"/>
          <w:szCs w:val="28"/>
          <w:lang w:val="en-US"/>
        </w:rPr>
      </w:pPr>
      <w:r w:rsidRPr="004F1439">
        <w:rPr>
          <w:rFonts w:ascii="Times New Roman" w:hAnsi="Times New Roman"/>
          <w:sz w:val="28"/>
          <w:szCs w:val="28"/>
          <w:lang w:val="en-US"/>
        </w:rPr>
        <w:t>At the time when in some countries the rating of the majority of top banks is being revised downwards,</w:t>
      </w:r>
      <w:r w:rsidRPr="004F1439">
        <w:rPr>
          <w:lang w:val="en-US"/>
        </w:rPr>
        <w:t xml:space="preserve"> </w:t>
      </w:r>
      <w:r>
        <w:rPr>
          <w:rFonts w:ascii="Times New Roman" w:hAnsi="Times New Roman"/>
          <w:sz w:val="28"/>
          <w:szCs w:val="28"/>
          <w:lang w:val="en-US"/>
        </w:rPr>
        <w:t>t</w:t>
      </w:r>
      <w:r w:rsidRPr="004F1439">
        <w:rPr>
          <w:rFonts w:ascii="Times New Roman" w:hAnsi="Times New Roman"/>
          <w:sz w:val="28"/>
          <w:szCs w:val="28"/>
          <w:lang w:val="en-US"/>
        </w:rPr>
        <w:t xml:space="preserve">o prevent such negative phenomena, Uzbekistan since 2000, </w:t>
      </w:r>
      <w:r>
        <w:rPr>
          <w:rFonts w:ascii="Times New Roman" w:hAnsi="Times New Roman"/>
          <w:sz w:val="28"/>
          <w:szCs w:val="28"/>
          <w:lang w:val="en-US"/>
        </w:rPr>
        <w:t>have been paying</w:t>
      </w:r>
      <w:r w:rsidRPr="004F1439">
        <w:rPr>
          <w:rFonts w:ascii="Times New Roman" w:hAnsi="Times New Roman"/>
          <w:sz w:val="28"/>
          <w:szCs w:val="28"/>
          <w:lang w:val="en-US"/>
        </w:rPr>
        <w:t xml:space="preserve"> </w:t>
      </w:r>
      <w:r>
        <w:rPr>
          <w:rFonts w:ascii="Times New Roman" w:hAnsi="Times New Roman"/>
          <w:sz w:val="28"/>
          <w:szCs w:val="28"/>
          <w:lang w:val="en-US"/>
        </w:rPr>
        <w:t>particular attention to ensure</w:t>
      </w:r>
      <w:r w:rsidRPr="004F1439">
        <w:rPr>
          <w:rFonts w:ascii="Times New Roman" w:hAnsi="Times New Roman"/>
          <w:sz w:val="28"/>
          <w:szCs w:val="28"/>
          <w:lang w:val="en-US"/>
        </w:rPr>
        <w:t xml:space="preserve"> the financial stability and increase the capitalization of commercial banks.</w:t>
      </w:r>
      <w:r>
        <w:rPr>
          <w:rFonts w:ascii="Times New Roman" w:hAnsi="Times New Roman"/>
          <w:sz w:val="28"/>
          <w:szCs w:val="28"/>
          <w:lang w:val="en-US"/>
        </w:rPr>
        <w:t xml:space="preserve"> T</w:t>
      </w:r>
      <w:r w:rsidRPr="004F1439">
        <w:rPr>
          <w:rFonts w:ascii="Times New Roman" w:hAnsi="Times New Roman"/>
          <w:sz w:val="28"/>
          <w:szCs w:val="28"/>
          <w:lang w:val="en-US"/>
        </w:rPr>
        <w:t>he support of the financial system by the state and ef</w:t>
      </w:r>
      <w:r>
        <w:rPr>
          <w:rFonts w:ascii="Times New Roman" w:hAnsi="Times New Roman"/>
          <w:sz w:val="28"/>
          <w:szCs w:val="28"/>
          <w:lang w:val="en-US"/>
        </w:rPr>
        <w:t xml:space="preserve">fective banking supervision </w:t>
      </w:r>
      <w:r w:rsidRPr="004F1439">
        <w:rPr>
          <w:rFonts w:ascii="Times New Roman" w:hAnsi="Times New Roman"/>
          <w:sz w:val="28"/>
          <w:szCs w:val="28"/>
          <w:lang w:val="en-US"/>
        </w:rPr>
        <w:t xml:space="preserve">allowed </w:t>
      </w:r>
      <w:smartTag w:uri="urn:schemas-microsoft-com:office:smarttags" w:element="country-region">
        <w:r w:rsidRPr="004F1439">
          <w:rPr>
            <w:rFonts w:ascii="Times New Roman" w:hAnsi="Times New Roman"/>
            <w:sz w:val="28"/>
            <w:szCs w:val="28"/>
            <w:lang w:val="en-US"/>
          </w:rPr>
          <w:t>Uzbekistan</w:t>
        </w:r>
      </w:smartTag>
      <w:r w:rsidRPr="004F1439">
        <w:rPr>
          <w:rFonts w:ascii="Times New Roman" w:hAnsi="Times New Roman"/>
          <w:sz w:val="28"/>
          <w:szCs w:val="28"/>
          <w:lang w:val="en-US"/>
        </w:rPr>
        <w:t>’s commercial banks to receive positive ratings from leading rating agencies.</w:t>
      </w:r>
      <w:r w:rsidRPr="00B67AEF">
        <w:rPr>
          <w:lang w:val="en-US"/>
        </w:rPr>
        <w:t xml:space="preserve"> </w:t>
      </w:r>
      <w:r w:rsidRPr="00B67AEF">
        <w:rPr>
          <w:rFonts w:ascii="Times New Roman" w:hAnsi="Times New Roman"/>
          <w:sz w:val="28"/>
          <w:szCs w:val="28"/>
          <w:lang w:val="en-US"/>
        </w:rPr>
        <w:t xml:space="preserve">The course of reforms </w:t>
      </w:r>
      <w:smartTag w:uri="urn:schemas-microsoft-com:office:smarttags" w:element="country-region">
        <w:r w:rsidRPr="00B67AEF">
          <w:rPr>
            <w:rFonts w:ascii="Times New Roman" w:hAnsi="Times New Roman"/>
            <w:sz w:val="28"/>
            <w:szCs w:val="28"/>
            <w:lang w:val="en-US"/>
          </w:rPr>
          <w:t>Uzbekistan</w:t>
        </w:r>
      </w:smartTag>
      <w:r w:rsidRPr="00B67AEF">
        <w:rPr>
          <w:rFonts w:ascii="Times New Roman" w:hAnsi="Times New Roman"/>
          <w:sz w:val="28"/>
          <w:szCs w:val="28"/>
          <w:lang w:val="en-US"/>
        </w:rPr>
        <w:t xml:space="preserve"> follows, which differ from the approach of other countr</w:t>
      </w:r>
      <w:r>
        <w:rPr>
          <w:rFonts w:ascii="Times New Roman" w:hAnsi="Times New Roman"/>
          <w:sz w:val="28"/>
          <w:szCs w:val="28"/>
          <w:lang w:val="en-US"/>
        </w:rPr>
        <w:t xml:space="preserve">ies, has proved its advantages. </w:t>
      </w:r>
      <w:r w:rsidRPr="004F1439">
        <w:rPr>
          <w:rFonts w:ascii="Times New Roman" w:hAnsi="Times New Roman"/>
          <w:sz w:val="28"/>
          <w:szCs w:val="28"/>
          <w:lang w:val="en-US"/>
        </w:rPr>
        <w:t>In particular, 13 commercial banks have received “stable” ratings from the leading international rating companies, such as Fitch Ratings, Moody’s and Standard &amp; Poor’s.</w:t>
      </w:r>
    </w:p>
    <w:p w:rsidR="00C529BC" w:rsidRDefault="00C529BC" w:rsidP="004E2516">
      <w:pPr>
        <w:spacing w:after="0" w:line="360" w:lineRule="auto"/>
        <w:ind w:firstLine="709"/>
        <w:jc w:val="both"/>
        <w:rPr>
          <w:rFonts w:ascii="Times New Roman" w:hAnsi="Times New Roman"/>
          <w:sz w:val="28"/>
          <w:szCs w:val="28"/>
          <w:lang w:val="en-US"/>
        </w:rPr>
      </w:pPr>
      <w:r w:rsidRPr="004F1439">
        <w:rPr>
          <w:rFonts w:ascii="Times New Roman" w:hAnsi="Times New Roman"/>
          <w:sz w:val="28"/>
          <w:szCs w:val="28"/>
          <w:lang w:val="en-US"/>
        </w:rPr>
        <w:t xml:space="preserve">The outlook for </w:t>
      </w:r>
      <w:smartTag w:uri="urn:schemas-microsoft-com:office:smarttags" w:element="country-region">
        <w:r w:rsidRPr="004F1439">
          <w:rPr>
            <w:rFonts w:ascii="Times New Roman" w:hAnsi="Times New Roman"/>
            <w:sz w:val="28"/>
            <w:szCs w:val="28"/>
            <w:lang w:val="en-US"/>
          </w:rPr>
          <w:t>Uzbekistan</w:t>
        </w:r>
      </w:smartTag>
      <w:r w:rsidRPr="004F1439">
        <w:rPr>
          <w:rFonts w:ascii="Times New Roman" w:hAnsi="Times New Roman"/>
          <w:sz w:val="28"/>
          <w:szCs w:val="28"/>
          <w:lang w:val="en-US"/>
        </w:rPr>
        <w:t xml:space="preserve">'s banking system remains stable, says Moody's Investors Service in a new report. </w:t>
      </w:r>
      <w:r w:rsidRPr="00926AC5">
        <w:rPr>
          <w:rFonts w:ascii="Times New Roman" w:hAnsi="Times New Roman"/>
          <w:sz w:val="28"/>
          <w:szCs w:val="28"/>
          <w:lang w:val="en-US"/>
        </w:rPr>
        <w:t xml:space="preserve">According to Moody’s, the stable forecast is provided by the high rates of economic growth in </w:t>
      </w:r>
      <w:smartTag w:uri="urn:schemas-microsoft-com:office:smarttags" w:element="country-region">
        <w:r w:rsidRPr="00926AC5">
          <w:rPr>
            <w:rFonts w:ascii="Times New Roman" w:hAnsi="Times New Roman"/>
            <w:sz w:val="28"/>
            <w:szCs w:val="28"/>
            <w:lang w:val="en-US"/>
          </w:rPr>
          <w:t>Uzbekistan</w:t>
        </w:r>
      </w:smartTag>
      <w:r w:rsidRPr="00926AC5">
        <w:rPr>
          <w:rFonts w:ascii="Times New Roman" w:hAnsi="Times New Roman"/>
          <w:sz w:val="28"/>
          <w:szCs w:val="28"/>
          <w:lang w:val="en-US"/>
        </w:rPr>
        <w:t xml:space="preserve"> accompanied by considerable volumes of investments. The factors cited as positively influencing the forecast include the steadfast incomes of Uzbek banks that ensure the capital for funding the growth in loans.</w:t>
      </w:r>
      <w:r>
        <w:rPr>
          <w:rFonts w:ascii="Times New Roman" w:hAnsi="Times New Roman"/>
          <w:sz w:val="28"/>
          <w:szCs w:val="28"/>
          <w:lang w:val="en-US"/>
        </w:rPr>
        <w:t xml:space="preserve"> </w:t>
      </w:r>
      <w:r w:rsidRPr="00462E12">
        <w:rPr>
          <w:rFonts w:ascii="Times New Roman" w:hAnsi="Times New Roman"/>
          <w:sz w:val="28"/>
          <w:szCs w:val="28"/>
          <w:lang w:val="en-US"/>
        </w:rPr>
        <w:t>Moody’s stresses the steady dynamics in the quality of assets of Uzbek banks, notably the encouraging trends in capital investments, affording every reason to suggest that the value of assets will remain at the stable level.</w:t>
      </w:r>
      <w:r>
        <w:rPr>
          <w:rFonts w:ascii="Times New Roman" w:hAnsi="Times New Roman"/>
          <w:sz w:val="28"/>
          <w:szCs w:val="28"/>
          <w:lang w:val="en-US"/>
        </w:rPr>
        <w:t xml:space="preserve"> </w:t>
      </w:r>
      <w:r w:rsidRPr="004F1439">
        <w:rPr>
          <w:rFonts w:ascii="Times New Roman" w:hAnsi="Times New Roman"/>
          <w:sz w:val="28"/>
          <w:szCs w:val="28"/>
          <w:lang w:val="en-US"/>
        </w:rPr>
        <w:t>The outlook is underpinned by the country's persistently strong economic growth, as banks channel high levels of investment from the cash-rich central government into the economy. Other key drivers include Uzbek banks' robust earnings which generate capital to fund some of their loan growth. In addition, Moody's leading asset-quality indicators suggest s</w:t>
      </w:r>
      <w:r>
        <w:rPr>
          <w:rFonts w:ascii="Times New Roman" w:hAnsi="Times New Roman"/>
          <w:sz w:val="28"/>
          <w:szCs w:val="28"/>
          <w:lang w:val="en-US"/>
        </w:rPr>
        <w:t xml:space="preserve">table trends for problem loans. </w:t>
      </w:r>
      <w:r w:rsidRPr="004F1439">
        <w:rPr>
          <w:rFonts w:ascii="Times New Roman" w:hAnsi="Times New Roman"/>
          <w:sz w:val="28"/>
          <w:szCs w:val="28"/>
          <w:lang w:val="en-US"/>
        </w:rPr>
        <w:t xml:space="preserve">Moody's notes positively the stability of commodity prices (cotton, natural gas and wheat) that represent the rating agency's leading indicators for asset quality in </w:t>
      </w:r>
      <w:smartTag w:uri="urn:schemas-microsoft-com:office:smarttags" w:element="country-region">
        <w:r w:rsidRPr="004F1439">
          <w:rPr>
            <w:rFonts w:ascii="Times New Roman" w:hAnsi="Times New Roman"/>
            <w:sz w:val="28"/>
            <w:szCs w:val="28"/>
            <w:lang w:val="en-US"/>
          </w:rPr>
          <w:t>Uzbekistan</w:t>
        </w:r>
      </w:smartTag>
      <w:r w:rsidRPr="004F1439">
        <w:rPr>
          <w:rFonts w:ascii="Times New Roman" w:hAnsi="Times New Roman"/>
          <w:sz w:val="28"/>
          <w:szCs w:val="28"/>
          <w:lang w:val="en-US"/>
        </w:rPr>
        <w:t>, and based on historical correlations, capital-investment trends also bode well for asset quality. The rating agency expects the average ratio of problem loans to total gross loans to remain in the range of 6%-7% in the next 12 to 18 months</w:t>
      </w:r>
      <w:r>
        <w:rPr>
          <w:rFonts w:ascii="Times New Roman" w:hAnsi="Times New Roman"/>
          <w:sz w:val="28"/>
          <w:szCs w:val="28"/>
          <w:lang w:val="en-US"/>
        </w:rPr>
        <w:t xml:space="preserve"> [1]</w:t>
      </w:r>
      <w:r w:rsidRPr="004F1439">
        <w:rPr>
          <w:rFonts w:ascii="Times New Roman" w:hAnsi="Times New Roman"/>
          <w:sz w:val="28"/>
          <w:szCs w:val="28"/>
          <w:lang w:val="en-US"/>
        </w:rPr>
        <w:t xml:space="preserve">. </w:t>
      </w:r>
    </w:p>
    <w:p w:rsidR="00C529BC" w:rsidRDefault="00C529BC" w:rsidP="0047730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According to analyses</w:t>
      </w:r>
      <w:r w:rsidRPr="006C7352">
        <w:rPr>
          <w:rFonts w:ascii="Times New Roman" w:hAnsi="Times New Roman"/>
          <w:sz w:val="28"/>
          <w:szCs w:val="28"/>
          <w:lang w:val="en-US"/>
        </w:rPr>
        <w:t xml:space="preserve"> of Standard &amp; Poor’s high economic growth in </w:t>
      </w:r>
      <w:smartTag w:uri="urn:schemas-microsoft-com:office:smarttags" w:element="country-region">
        <w:r w:rsidRPr="006C7352">
          <w:rPr>
            <w:rFonts w:ascii="Times New Roman" w:hAnsi="Times New Roman"/>
            <w:sz w:val="28"/>
            <w:szCs w:val="28"/>
            <w:lang w:val="en-US"/>
          </w:rPr>
          <w:t>Uzbekistan</w:t>
        </w:r>
      </w:smartTag>
      <w:r w:rsidRPr="006C7352">
        <w:rPr>
          <w:rFonts w:ascii="Times New Roman" w:hAnsi="Times New Roman"/>
          <w:sz w:val="28"/>
          <w:szCs w:val="28"/>
          <w:lang w:val="en-US"/>
        </w:rPr>
        <w:t xml:space="preserve"> </w:t>
      </w:r>
      <w:r>
        <w:rPr>
          <w:rFonts w:ascii="Times New Roman" w:hAnsi="Times New Roman"/>
          <w:sz w:val="28"/>
          <w:szCs w:val="28"/>
          <w:lang w:val="en-US"/>
        </w:rPr>
        <w:t>is</w:t>
      </w:r>
      <w:r w:rsidRPr="006C7352">
        <w:rPr>
          <w:rFonts w:ascii="Times New Roman" w:hAnsi="Times New Roman"/>
          <w:sz w:val="28"/>
          <w:szCs w:val="28"/>
          <w:lang w:val="en-US"/>
        </w:rPr>
        <w:t xml:space="preserve"> supported with financing of real sector of economy by the commercial banks.</w:t>
      </w:r>
      <w:r>
        <w:rPr>
          <w:rFonts w:ascii="Times New Roman" w:hAnsi="Times New Roman"/>
          <w:sz w:val="28"/>
          <w:szCs w:val="28"/>
          <w:lang w:val="en-US"/>
        </w:rPr>
        <w:t xml:space="preserve"> </w:t>
      </w:r>
      <w:r w:rsidRPr="006C7352">
        <w:rPr>
          <w:rFonts w:ascii="Times New Roman" w:hAnsi="Times New Roman"/>
          <w:sz w:val="28"/>
          <w:szCs w:val="28"/>
          <w:lang w:val="en-US"/>
        </w:rPr>
        <w:t>Efficient banking supervision and regulation of the banks’ activities help to keep main figures of the banking system in high level and meet international requirements</w:t>
      </w:r>
      <w:r w:rsidRPr="006C7352">
        <w:rPr>
          <w:lang w:val="en-US"/>
        </w:rPr>
        <w:t xml:space="preserve"> </w:t>
      </w:r>
      <w:r>
        <w:rPr>
          <w:lang w:val="en-US"/>
        </w:rPr>
        <w:t xml:space="preserve">. </w:t>
      </w:r>
      <w:r w:rsidRPr="00BA561E">
        <w:rPr>
          <w:rFonts w:ascii="Times New Roman" w:hAnsi="Times New Roman"/>
          <w:sz w:val="28"/>
          <w:szCs w:val="28"/>
          <w:lang w:val="en-US"/>
        </w:rPr>
        <w:t>Stable position of the banks serves as firm foundation for confidence in the banking system and mobilization of corporate and population deposits at the banks, which rose 2.2 times in last three years. In 2013, the deposits rose by 30.2% and aggregate assets – 30%.</w:t>
      </w:r>
      <w:r>
        <w:rPr>
          <w:lang w:val="en-US"/>
        </w:rPr>
        <w:t xml:space="preserve"> </w:t>
      </w:r>
      <w:r w:rsidRPr="006C7352">
        <w:rPr>
          <w:rFonts w:ascii="Times New Roman" w:hAnsi="Times New Roman"/>
          <w:sz w:val="28"/>
          <w:szCs w:val="28"/>
          <w:lang w:val="en-US"/>
        </w:rPr>
        <w:t>It was noted that total capital of the banks rose 2 times in last three years and by 25.1% in 2013. Capital adequacy of the banking system makes up 24.3%, which exceeds international stand</w:t>
      </w:r>
      <w:r>
        <w:rPr>
          <w:rFonts w:ascii="Times New Roman" w:hAnsi="Times New Roman"/>
          <w:sz w:val="28"/>
          <w:szCs w:val="28"/>
          <w:lang w:val="en-US"/>
        </w:rPr>
        <w:t xml:space="preserve">ards three </w:t>
      </w:r>
      <w:r w:rsidRPr="006C7352">
        <w:rPr>
          <w:rFonts w:ascii="Times New Roman" w:hAnsi="Times New Roman"/>
          <w:sz w:val="28"/>
          <w:szCs w:val="28"/>
          <w:lang w:val="en-US"/>
        </w:rPr>
        <w:t>times</w:t>
      </w:r>
      <w:r>
        <w:rPr>
          <w:rFonts w:ascii="Times New Roman" w:hAnsi="Times New Roman"/>
          <w:sz w:val="28"/>
          <w:szCs w:val="28"/>
          <w:lang w:val="en-US"/>
        </w:rPr>
        <w:t>Fig1)</w:t>
      </w:r>
      <w:r w:rsidRPr="006C7352">
        <w:rPr>
          <w:rFonts w:ascii="Times New Roman" w:hAnsi="Times New Roman"/>
          <w:sz w:val="28"/>
          <w:szCs w:val="28"/>
          <w:lang w:val="en-US"/>
        </w:rPr>
        <w:t>. It is planned that aggregate capital of the banks will grow at least 20% till 2015.</w:t>
      </w:r>
      <w:r>
        <w:rPr>
          <w:lang w:val="en-US"/>
        </w:rPr>
        <w:t xml:space="preserve"> </w:t>
      </w:r>
      <w:r w:rsidRPr="006C7352">
        <w:rPr>
          <w:rFonts w:ascii="Times New Roman" w:hAnsi="Times New Roman"/>
          <w:sz w:val="28"/>
          <w:szCs w:val="28"/>
          <w:lang w:val="en-US"/>
        </w:rPr>
        <w:t>Current liquidity of the banking system is 65.5%, which is twice higher compared to international requirements</w:t>
      </w:r>
      <w:r>
        <w:rPr>
          <w:rFonts w:ascii="Times New Roman" w:hAnsi="Times New Roman"/>
          <w:sz w:val="28"/>
          <w:szCs w:val="28"/>
          <w:lang w:val="en-US"/>
        </w:rPr>
        <w:t xml:space="preserve"> [2]</w:t>
      </w:r>
      <w:r w:rsidRPr="006C7352">
        <w:rPr>
          <w:rFonts w:ascii="Times New Roman" w:hAnsi="Times New Roman"/>
          <w:sz w:val="28"/>
          <w:szCs w:val="28"/>
          <w:lang w:val="en-US"/>
        </w:rPr>
        <w:t>.</w:t>
      </w:r>
    </w:p>
    <w:p w:rsidR="00C529BC" w:rsidRDefault="00C529BC" w:rsidP="00477302">
      <w:pPr>
        <w:spacing w:after="0" w:line="360" w:lineRule="auto"/>
        <w:ind w:firstLine="709"/>
        <w:jc w:val="both"/>
        <w:rPr>
          <w:rFonts w:ascii="Times New Roman" w:hAnsi="Times New Roman"/>
          <w:sz w:val="28"/>
          <w:szCs w:val="28"/>
          <w:lang w:val="en-US"/>
        </w:rPr>
      </w:pPr>
      <w:r w:rsidRPr="008C2DC3">
        <w:rPr>
          <w:rFonts w:ascii="Times New Roman" w:hAnsi="Times New Roman"/>
          <w:noProof/>
          <w:sz w:val="28"/>
          <w:szCs w:val="28"/>
          <w:lang w:val="uk-UA" w:eastAsia="uk-UA"/>
        </w:rPr>
        <w:object w:dxaOrig="8660" w:dyaOrig="5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5" o:spid="_x0000_i1025" type="#_x0000_t75" style="width:432.75pt;height:252pt;visibility:visible" o:ole="">
            <v:imagedata r:id="rId7" o:title=""/>
            <o:lock v:ext="edit" aspectratio="f"/>
          </v:shape>
          <o:OLEObject Type="Embed" ProgID="Excel.Chart.8" ShapeID="Диаграмма 5" DrawAspect="Content" ObjectID="_1481111017" r:id="rId8"/>
        </w:object>
      </w:r>
    </w:p>
    <w:p w:rsidR="00C529BC" w:rsidRDefault="00C529BC" w:rsidP="00477302">
      <w:pPr>
        <w:spacing w:after="0" w:line="360" w:lineRule="auto"/>
        <w:ind w:firstLine="709"/>
        <w:jc w:val="both"/>
        <w:rPr>
          <w:rFonts w:ascii="Times New Roman" w:hAnsi="Times New Roman"/>
          <w:sz w:val="28"/>
          <w:szCs w:val="28"/>
          <w:lang w:val="en-US"/>
        </w:rPr>
      </w:pPr>
    </w:p>
    <w:p w:rsidR="00C529BC" w:rsidRDefault="00C529BC" w:rsidP="004E2516">
      <w:pPr>
        <w:spacing w:after="0" w:line="360" w:lineRule="auto"/>
        <w:ind w:firstLine="709"/>
        <w:jc w:val="both"/>
        <w:rPr>
          <w:rFonts w:ascii="Times New Roman" w:hAnsi="Times New Roman"/>
          <w:sz w:val="28"/>
          <w:szCs w:val="28"/>
          <w:lang w:val="en-US"/>
        </w:rPr>
      </w:pPr>
      <w:r w:rsidRPr="004F1439">
        <w:rPr>
          <w:rFonts w:ascii="Times New Roman" w:hAnsi="Times New Roman"/>
          <w:sz w:val="28"/>
          <w:szCs w:val="28"/>
          <w:lang w:val="en-US"/>
        </w:rPr>
        <w:t xml:space="preserve">Fitch Ratings says in a newly-published sector report that </w:t>
      </w:r>
      <w:smartTag w:uri="urn:schemas-microsoft-com:office:smarttags" w:element="country-region">
        <w:r w:rsidRPr="004F1439">
          <w:rPr>
            <w:rFonts w:ascii="Times New Roman" w:hAnsi="Times New Roman"/>
            <w:sz w:val="28"/>
            <w:szCs w:val="28"/>
            <w:lang w:val="en-US"/>
          </w:rPr>
          <w:t>Uzbekistan</w:t>
        </w:r>
      </w:smartTag>
      <w:r w:rsidRPr="004F1439">
        <w:rPr>
          <w:rFonts w:ascii="Times New Roman" w:hAnsi="Times New Roman"/>
          <w:sz w:val="28"/>
          <w:szCs w:val="28"/>
          <w:lang w:val="en-US"/>
        </w:rPr>
        <w:t xml:space="preserve">’s banks have demonstrated stable growth rates (albeit from a quite low base), relying mostly on domestic savings. Sector performance is supported by consistently strong economic growth resulting from favorable export markets and the sovereign’s currently strong fiscal position that underpins the largely centralized economy. </w:t>
      </w:r>
      <w:r w:rsidRPr="00B67AEF">
        <w:rPr>
          <w:rFonts w:ascii="Times New Roman" w:hAnsi="Times New Roman"/>
          <w:sz w:val="28"/>
          <w:szCs w:val="28"/>
          <w:lang w:val="en-US"/>
        </w:rPr>
        <w:t>Bank lending continues to grow at a rapid pace (28% in 2013) on the back of strong economic growth and low credit penetration (loans/GDP ratio of 22% at end-2013). The share of impaired loans, based on IFRS accounts, was a moderate 8% at end-2013, with the ratio benefiting from growing loan portfolios. However, unreserved impaired loans were a material 22.5% of sector equity at end-2013. Foreign currency lending was a significant 40% of total loans, although positively most borrowers have FX revenues, while the sector's currency position is balanced by FX denominated funding amounting to 39% of total liabilities</w:t>
      </w:r>
      <w:r>
        <w:rPr>
          <w:rFonts w:ascii="Times New Roman" w:hAnsi="Times New Roman"/>
          <w:sz w:val="28"/>
          <w:szCs w:val="28"/>
          <w:lang w:val="en-US"/>
        </w:rPr>
        <w:t xml:space="preserve"> [3]</w:t>
      </w:r>
      <w:r w:rsidRPr="00B67AEF">
        <w:rPr>
          <w:rFonts w:ascii="Times New Roman" w:hAnsi="Times New Roman"/>
          <w:sz w:val="28"/>
          <w:szCs w:val="28"/>
          <w:lang w:val="en-US"/>
        </w:rPr>
        <w:t>.</w:t>
      </w:r>
    </w:p>
    <w:p w:rsidR="00C529BC" w:rsidRDefault="00C529BC" w:rsidP="004E2516">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Taking everything into consideration, It is essential to emphasize that all these factors clearly show that our banking system has significantly developed due to effective banking supervision.</w:t>
      </w:r>
    </w:p>
    <w:p w:rsidR="00C529BC" w:rsidRPr="00BA561E" w:rsidRDefault="00C529BC" w:rsidP="004E2516">
      <w:pPr>
        <w:spacing w:after="0" w:line="360" w:lineRule="auto"/>
        <w:ind w:firstLine="709"/>
        <w:jc w:val="both"/>
        <w:rPr>
          <w:lang w:val="en-US"/>
        </w:rPr>
      </w:pPr>
    </w:p>
    <w:p w:rsidR="00C529BC" w:rsidRDefault="00C529BC" w:rsidP="004E2516">
      <w:pPr>
        <w:spacing w:after="0" w:line="360" w:lineRule="auto"/>
        <w:jc w:val="both"/>
        <w:rPr>
          <w:rFonts w:ascii="Times New Roman" w:hAnsi="Times New Roman"/>
          <w:b/>
          <w:sz w:val="28"/>
          <w:szCs w:val="28"/>
          <w:lang w:val="en-US"/>
        </w:rPr>
      </w:pPr>
      <w:r w:rsidRPr="00CB70D1">
        <w:rPr>
          <w:rFonts w:ascii="Times New Roman" w:hAnsi="Times New Roman"/>
          <w:b/>
          <w:sz w:val="28"/>
          <w:szCs w:val="28"/>
          <w:lang w:val="en-US"/>
        </w:rPr>
        <w:t>Literature:</w:t>
      </w:r>
    </w:p>
    <w:p w:rsidR="00C529BC" w:rsidRPr="00C97788" w:rsidRDefault="00C529BC" w:rsidP="00CB70D1">
      <w:pPr>
        <w:pStyle w:val="ListParagraph"/>
        <w:numPr>
          <w:ilvl w:val="0"/>
          <w:numId w:val="1"/>
        </w:numPr>
        <w:spacing w:after="0" w:line="360" w:lineRule="auto"/>
        <w:jc w:val="both"/>
        <w:rPr>
          <w:rFonts w:ascii="Times New Roman" w:hAnsi="Times New Roman"/>
          <w:sz w:val="28"/>
          <w:szCs w:val="28"/>
          <w:lang w:val="en-US"/>
        </w:rPr>
      </w:pPr>
      <w:hyperlink r:id="rId9" w:history="1">
        <w:r w:rsidRPr="00C97788">
          <w:rPr>
            <w:rStyle w:val="Hyperlink"/>
            <w:rFonts w:ascii="Times New Roman" w:hAnsi="Times New Roman"/>
            <w:sz w:val="28"/>
            <w:szCs w:val="28"/>
            <w:lang w:val="en-US"/>
          </w:rPr>
          <w:t>http://www.moodys.com</w:t>
        </w:r>
      </w:hyperlink>
    </w:p>
    <w:p w:rsidR="00C529BC" w:rsidRPr="00C97788" w:rsidRDefault="00C529BC" w:rsidP="00CB70D1">
      <w:pPr>
        <w:pStyle w:val="ListParagraph"/>
        <w:numPr>
          <w:ilvl w:val="0"/>
          <w:numId w:val="1"/>
        </w:numPr>
        <w:spacing w:after="0" w:line="360" w:lineRule="auto"/>
        <w:jc w:val="both"/>
        <w:rPr>
          <w:rFonts w:ascii="Times New Roman" w:hAnsi="Times New Roman"/>
          <w:sz w:val="28"/>
          <w:szCs w:val="28"/>
          <w:lang w:val="en-US"/>
        </w:rPr>
      </w:pPr>
      <w:hyperlink r:id="rId10" w:history="1">
        <w:r w:rsidRPr="00C97788">
          <w:rPr>
            <w:rStyle w:val="Hyperlink"/>
            <w:rFonts w:ascii="Times New Roman" w:hAnsi="Times New Roman"/>
            <w:sz w:val="28"/>
            <w:szCs w:val="28"/>
            <w:lang w:val="en-US"/>
          </w:rPr>
          <w:t>http://www.standartandpoors.com</w:t>
        </w:r>
      </w:hyperlink>
    </w:p>
    <w:p w:rsidR="00C529BC" w:rsidRPr="00C97788" w:rsidRDefault="00C529BC" w:rsidP="00CB70D1">
      <w:pPr>
        <w:pStyle w:val="ListParagraph"/>
        <w:numPr>
          <w:ilvl w:val="0"/>
          <w:numId w:val="1"/>
        </w:numPr>
        <w:spacing w:after="0" w:line="360" w:lineRule="auto"/>
        <w:jc w:val="both"/>
        <w:rPr>
          <w:rFonts w:ascii="Times New Roman" w:hAnsi="Times New Roman"/>
          <w:sz w:val="28"/>
          <w:szCs w:val="28"/>
          <w:lang w:val="en-US"/>
        </w:rPr>
      </w:pPr>
      <w:hyperlink r:id="rId11" w:history="1">
        <w:r w:rsidRPr="00C97788">
          <w:rPr>
            <w:rStyle w:val="Hyperlink"/>
            <w:rFonts w:ascii="Times New Roman" w:hAnsi="Times New Roman"/>
            <w:sz w:val="28"/>
            <w:szCs w:val="28"/>
            <w:lang w:val="en-US"/>
          </w:rPr>
          <w:t>http://fitchratings.com</w:t>
        </w:r>
      </w:hyperlink>
    </w:p>
    <w:p w:rsidR="00C529BC" w:rsidRDefault="00C529BC" w:rsidP="004E2516">
      <w:pPr>
        <w:spacing w:after="0" w:line="360" w:lineRule="auto"/>
        <w:ind w:firstLine="709"/>
        <w:jc w:val="both"/>
        <w:rPr>
          <w:rFonts w:ascii="Times New Roman" w:hAnsi="Times New Roman"/>
          <w:sz w:val="28"/>
          <w:szCs w:val="28"/>
          <w:lang w:val="en-US"/>
        </w:rPr>
      </w:pPr>
    </w:p>
    <w:p w:rsidR="00C529BC" w:rsidRDefault="00C529BC" w:rsidP="00CB70D1">
      <w:pPr>
        <w:spacing w:after="0" w:line="360" w:lineRule="auto"/>
        <w:jc w:val="right"/>
        <w:rPr>
          <w:rFonts w:ascii="Times New Roman" w:hAnsi="Times New Roman"/>
          <w:b/>
          <w:sz w:val="28"/>
          <w:szCs w:val="28"/>
          <w:lang w:val="en-US"/>
        </w:rPr>
      </w:pPr>
      <w:r>
        <w:rPr>
          <w:rFonts w:ascii="Times New Roman" w:hAnsi="Times New Roman"/>
          <w:b/>
          <w:sz w:val="28"/>
          <w:szCs w:val="28"/>
          <w:lang w:val="en-US"/>
        </w:rPr>
        <w:t>Scientific supervisor:</w:t>
      </w:r>
    </w:p>
    <w:p w:rsidR="00C529BC" w:rsidRPr="00CB70D1" w:rsidRDefault="00C529BC" w:rsidP="00556D8E">
      <w:pPr>
        <w:spacing w:after="0" w:line="360" w:lineRule="auto"/>
        <w:jc w:val="right"/>
        <w:rPr>
          <w:rFonts w:ascii="Times New Roman" w:hAnsi="Times New Roman"/>
          <w:sz w:val="28"/>
          <w:szCs w:val="28"/>
          <w:lang w:val="en-US"/>
        </w:rPr>
      </w:pPr>
      <w:r w:rsidRPr="00CB70D1">
        <w:rPr>
          <w:rFonts w:ascii="Times New Roman" w:hAnsi="Times New Roman"/>
          <w:sz w:val="28"/>
          <w:szCs w:val="28"/>
          <w:lang w:val="en-US"/>
        </w:rPr>
        <w:t>Namozov Olim</w:t>
      </w:r>
      <w:r>
        <w:rPr>
          <w:rFonts w:ascii="Times New Roman" w:hAnsi="Times New Roman"/>
          <w:sz w:val="28"/>
          <w:szCs w:val="28"/>
          <w:lang w:val="en-US"/>
        </w:rPr>
        <w:t xml:space="preserve"> Botirovich </w:t>
      </w:r>
      <w:bookmarkStart w:id="0" w:name="_GoBack"/>
      <w:bookmarkEnd w:id="0"/>
      <w:r>
        <w:rPr>
          <w:rFonts w:ascii="Times New Roman" w:hAnsi="Times New Roman"/>
          <w:sz w:val="28"/>
          <w:szCs w:val="28"/>
          <w:lang w:val="en-US"/>
        </w:rPr>
        <w:t xml:space="preserve">– the </w:t>
      </w:r>
      <w:r w:rsidRPr="00CB70D1">
        <w:rPr>
          <w:rFonts w:ascii="Times New Roman" w:hAnsi="Times New Roman"/>
          <w:sz w:val="28"/>
          <w:szCs w:val="28"/>
          <w:lang w:val="en-US"/>
        </w:rPr>
        <w:t>teacher</w:t>
      </w:r>
      <w:r w:rsidRPr="00556D8E">
        <w:rPr>
          <w:rFonts w:ascii="Times New Roman" w:hAnsi="Times New Roman"/>
          <w:sz w:val="28"/>
          <w:szCs w:val="28"/>
          <w:lang w:val="en-US"/>
        </w:rPr>
        <w:t xml:space="preserve"> </w:t>
      </w:r>
      <w:r>
        <w:rPr>
          <w:rFonts w:ascii="Times New Roman" w:hAnsi="Times New Roman"/>
          <w:sz w:val="28"/>
          <w:szCs w:val="28"/>
          <w:lang w:val="en-US"/>
        </w:rPr>
        <w:t>of Tashkent Financial Institute.</w:t>
      </w:r>
    </w:p>
    <w:p w:rsidR="00C529BC" w:rsidRPr="00CB70D1" w:rsidRDefault="00C529BC" w:rsidP="00556D8E">
      <w:pPr>
        <w:spacing w:after="0" w:line="360" w:lineRule="auto"/>
        <w:jc w:val="right"/>
        <w:rPr>
          <w:rFonts w:ascii="Times New Roman" w:hAnsi="Times New Roman"/>
          <w:sz w:val="28"/>
          <w:szCs w:val="28"/>
          <w:lang w:val="en-US"/>
        </w:rPr>
      </w:pPr>
    </w:p>
    <w:sectPr w:rsidR="00C529BC" w:rsidRPr="00CB70D1" w:rsidSect="00C9778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29BC" w:rsidRDefault="00C529BC" w:rsidP="00323109">
      <w:pPr>
        <w:spacing w:after="0" w:line="240" w:lineRule="auto"/>
      </w:pPr>
      <w:r>
        <w:separator/>
      </w:r>
    </w:p>
  </w:endnote>
  <w:endnote w:type="continuationSeparator" w:id="1">
    <w:p w:rsidR="00C529BC" w:rsidRDefault="00C529BC" w:rsidP="003231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29BC" w:rsidRDefault="00C529BC" w:rsidP="00323109">
      <w:pPr>
        <w:spacing w:after="0" w:line="240" w:lineRule="auto"/>
      </w:pPr>
      <w:r>
        <w:separator/>
      </w:r>
    </w:p>
  </w:footnote>
  <w:footnote w:type="continuationSeparator" w:id="1">
    <w:p w:rsidR="00C529BC" w:rsidRDefault="00C529BC" w:rsidP="003231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0F241B"/>
    <w:multiLevelType w:val="hybridMultilevel"/>
    <w:tmpl w:val="2E62DD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1439"/>
    <w:rsid w:val="00092D2E"/>
    <w:rsid w:val="00096949"/>
    <w:rsid w:val="001675C3"/>
    <w:rsid w:val="002077D2"/>
    <w:rsid w:val="0022142D"/>
    <w:rsid w:val="00323109"/>
    <w:rsid w:val="003856DB"/>
    <w:rsid w:val="00462E12"/>
    <w:rsid w:val="00477302"/>
    <w:rsid w:val="004E2516"/>
    <w:rsid w:val="004F1439"/>
    <w:rsid w:val="00556D8E"/>
    <w:rsid w:val="005E172C"/>
    <w:rsid w:val="006C7352"/>
    <w:rsid w:val="007928BF"/>
    <w:rsid w:val="008835EE"/>
    <w:rsid w:val="008C2DC3"/>
    <w:rsid w:val="00926AC5"/>
    <w:rsid w:val="00A34F04"/>
    <w:rsid w:val="00AA6B2B"/>
    <w:rsid w:val="00B67AEF"/>
    <w:rsid w:val="00BA561E"/>
    <w:rsid w:val="00BD6227"/>
    <w:rsid w:val="00C40FD6"/>
    <w:rsid w:val="00C41FBC"/>
    <w:rsid w:val="00C529BC"/>
    <w:rsid w:val="00C97788"/>
    <w:rsid w:val="00CB70D1"/>
    <w:rsid w:val="00CC2AA6"/>
    <w:rsid w:val="00CF1DFF"/>
    <w:rsid w:val="00D45E4A"/>
    <w:rsid w:val="00E409CB"/>
    <w:rsid w:val="00E56AD3"/>
    <w:rsid w:val="00ED4B23"/>
    <w:rsid w:val="00FB5B8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8BF"/>
    <w:pPr>
      <w:spacing w:after="160" w:line="259"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231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323109"/>
    <w:rPr>
      <w:rFonts w:ascii="Segoe UI" w:hAnsi="Segoe UI" w:cs="Segoe UI"/>
      <w:sz w:val="18"/>
      <w:szCs w:val="18"/>
    </w:rPr>
  </w:style>
  <w:style w:type="paragraph" w:styleId="FootnoteText">
    <w:name w:val="footnote text"/>
    <w:basedOn w:val="Normal"/>
    <w:link w:val="FootnoteTextChar"/>
    <w:uiPriority w:val="99"/>
    <w:semiHidden/>
    <w:rsid w:val="00323109"/>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323109"/>
    <w:rPr>
      <w:rFonts w:cs="Times New Roman"/>
      <w:sz w:val="20"/>
      <w:szCs w:val="20"/>
    </w:rPr>
  </w:style>
  <w:style w:type="character" w:styleId="FootnoteReference">
    <w:name w:val="footnote reference"/>
    <w:basedOn w:val="DefaultParagraphFont"/>
    <w:uiPriority w:val="99"/>
    <w:semiHidden/>
    <w:rsid w:val="00323109"/>
    <w:rPr>
      <w:rFonts w:cs="Times New Roman"/>
      <w:vertAlign w:val="superscript"/>
    </w:rPr>
  </w:style>
  <w:style w:type="character" w:styleId="Hyperlink">
    <w:name w:val="Hyperlink"/>
    <w:basedOn w:val="DefaultParagraphFont"/>
    <w:uiPriority w:val="99"/>
    <w:rsid w:val="00323109"/>
    <w:rPr>
      <w:rFonts w:cs="Times New Roman"/>
      <w:color w:val="0563C1"/>
      <w:u w:val="single"/>
    </w:rPr>
  </w:style>
  <w:style w:type="paragraph" w:styleId="ListParagraph">
    <w:name w:val="List Paragraph"/>
    <w:basedOn w:val="Normal"/>
    <w:uiPriority w:val="99"/>
    <w:qFormat/>
    <w:rsid w:val="00CB70D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itchratings.com" TargetMode="External"/><Relationship Id="rId5" Type="http://schemas.openxmlformats.org/officeDocument/2006/relationships/footnotes" Target="footnotes.xml"/><Relationship Id="rId10" Type="http://schemas.openxmlformats.org/officeDocument/2006/relationships/hyperlink" Target="http://www.standartandpoors.com" TargetMode="External"/><Relationship Id="rId4" Type="http://schemas.openxmlformats.org/officeDocument/2006/relationships/webSettings" Target="webSettings.xml"/><Relationship Id="rId9" Type="http://schemas.openxmlformats.org/officeDocument/2006/relationships/hyperlink" Target="http://www.moody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3</Pages>
  <Words>3100</Words>
  <Characters>1767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Temur</dc:creator>
  <cp:keywords/>
  <dc:description/>
  <cp:lastModifiedBy>Admin</cp:lastModifiedBy>
  <cp:revision>10</cp:revision>
  <cp:lastPrinted>2014-12-25T08:24:00Z</cp:lastPrinted>
  <dcterms:created xsi:type="dcterms:W3CDTF">2014-12-24T06:39:00Z</dcterms:created>
  <dcterms:modified xsi:type="dcterms:W3CDTF">2014-12-26T12:57:00Z</dcterms:modified>
</cp:coreProperties>
</file>