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475" w:rsidRPr="007C20F8" w:rsidRDefault="009C2475" w:rsidP="007C20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C20F8">
        <w:rPr>
          <w:rFonts w:ascii="Times New Roman" w:hAnsi="Times New Roman"/>
          <w:b/>
          <w:bCs/>
          <w:sz w:val="28"/>
          <w:szCs w:val="28"/>
          <w:lang w:val="ru-RU"/>
        </w:rPr>
        <w:t>Фарход Адилов</w:t>
      </w:r>
    </w:p>
    <w:p w:rsidR="009C2475" w:rsidRPr="007C20F8" w:rsidRDefault="009C2475" w:rsidP="007C20F8">
      <w:pPr>
        <w:tabs>
          <w:tab w:val="left" w:pos="3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C20F8">
        <w:rPr>
          <w:rFonts w:ascii="Times New Roman" w:hAnsi="Times New Roman"/>
          <w:b/>
          <w:bCs/>
          <w:sz w:val="28"/>
          <w:szCs w:val="28"/>
          <w:lang w:val="uz-Cyrl-UZ"/>
        </w:rPr>
        <w:t xml:space="preserve">(Тошкент, Узбекистан) </w:t>
      </w:r>
    </w:p>
    <w:p w:rsidR="009C2475" w:rsidRDefault="009C2475" w:rsidP="00A350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C2475" w:rsidRDefault="009C2475" w:rsidP="007C20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E364C">
        <w:rPr>
          <w:rFonts w:ascii="Times New Roman" w:hAnsi="Times New Roman"/>
          <w:b/>
          <w:bCs/>
          <w:sz w:val="28"/>
          <w:szCs w:val="28"/>
          <w:lang w:val="ru-RU"/>
        </w:rPr>
        <w:t>ПРОБЛЕМЫ РЕФОРМИРОВАНИЯ МАКРОЭКОНОМИЧЕСКИХ ИНСТИТУТОВ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9E364C">
        <w:rPr>
          <w:rFonts w:ascii="Times New Roman" w:hAnsi="Times New Roman"/>
          <w:b/>
          <w:bCs/>
          <w:sz w:val="28"/>
          <w:szCs w:val="28"/>
          <w:lang w:val="ru-RU"/>
        </w:rPr>
        <w:t>В ПОСЛЕКРИЗИСНЫЙ ПЕРИОД В АЗЕРБАЙДЖАНЕ</w:t>
      </w:r>
    </w:p>
    <w:p w:rsidR="009C2475" w:rsidRPr="000B2341" w:rsidRDefault="009C2475" w:rsidP="000B2341">
      <w:pPr>
        <w:spacing w:after="0" w:line="360" w:lineRule="auto"/>
        <w:rPr>
          <w:rFonts w:ascii="Times New Roman" w:hAnsi="Times New Roman"/>
          <w:bCs/>
          <w:sz w:val="28"/>
          <w:szCs w:val="28"/>
          <w:lang w:val="ru-RU"/>
        </w:rPr>
      </w:pPr>
    </w:p>
    <w:p w:rsidR="009C2475" w:rsidRPr="00EF6E1E" w:rsidRDefault="009C2475" w:rsidP="00C33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>
        <w:rPr>
          <w:rFonts w:ascii="Times New Roman" w:eastAsia="TimesNewRomanPSMT" w:hAnsi="Times New Roman"/>
          <w:sz w:val="28"/>
          <w:szCs w:val="28"/>
          <w:lang w:val="ru-RU"/>
        </w:rPr>
        <w:t>Т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ермин «макроэкономические институты» используется в экономической литературе в разных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значениях. В ряде случаев он употребляется для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обозначения организаций, входящих в состав исполнительной власти, деятельность которых (принимаемые решения, применяемые меры регулирования) изменяет структуру выг</w:t>
      </w:r>
      <w:r>
        <w:rPr>
          <w:rFonts w:ascii="Times New Roman" w:eastAsia="TimesNewRomanPSMT" w:hAnsi="Times New Roman"/>
          <w:sz w:val="28"/>
          <w:szCs w:val="28"/>
          <w:lang w:val="ru-RU"/>
        </w:rPr>
        <w:t>од и издержек значительного чис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ла экономических агентов, либо экономических агентов, обладающих в совокупности значительными – с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точки зрения масштабов экономики – объемами ресурсов. Основными макроэкономическими институтами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служат министерство финансов (бюджетно-налоговые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власти), центральный банк (монетарные власти) и регулирующие органы (агенство по надзору за финансовой системой и т. д.). Другое значение термина «макроэкономические институты» подразумевает набор правил, в соответствии с которыми органы, ответственные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за разработку и реализацию макроэкономической политики, обязаны выстраивать свою деятельность.</w:t>
      </w:r>
    </w:p>
    <w:p w:rsidR="009C2475" w:rsidRPr="00EF6E1E" w:rsidRDefault="009C2475" w:rsidP="00C33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Важность формирования макроэкономических институтов иллюстрируется, в частности, классической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проблемой противоречивости мер макроэкономической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политики во времени. Впервые эта тема была освещена нобелевскими лауреатами Ф. Кидландом и Э. П ресскоттом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 xml:space="preserve">в </w:t>
      </w:r>
      <w:smartTag w:uri="urn:schemas-microsoft-com:office:smarttags" w:element="metricconverter">
        <w:smartTagPr>
          <w:attr w:name="ProductID" w:val="1977 г"/>
        </w:smartTagPr>
        <w:r w:rsidRPr="00EF6E1E">
          <w:rPr>
            <w:rFonts w:ascii="Times New Roman" w:eastAsia="TimesNewRomanPSMT" w:hAnsi="Times New Roman"/>
            <w:sz w:val="28"/>
            <w:szCs w:val="28"/>
            <w:lang w:val="ru-RU"/>
          </w:rPr>
          <w:t>1977 г</w:t>
        </w:r>
      </w:smartTag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., которые показали, что в краткосрочном плане денежные власти, не ограниченные обязательствами по поддержанию низкого уровня инфляции, сталкиваются с искушением снизить безработицу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за счет повышения инфляции. Однако, поскольку сниуровень безработицы ниже равновесного уровня можно только в краткосрочном периоде, результатом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в долгосрочном периоде становится более высокая инфляция при сохранении прежнего уровня безработицы.</w:t>
      </w:r>
    </w:p>
    <w:p w:rsidR="009C2475" w:rsidRPr="00EF6E1E" w:rsidRDefault="009C2475" w:rsidP="00C33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Проблему следования правилам можно описать так же,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как проблему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морального риска и недостоверных обещаний. Аналогичная ситуация возникает в сфере налогообложения: сегодня правительство может обещать налоговые послабления с целью привлечения инвестиций, а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завтра – по отношению к немобильному капиталу могут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применяться повышенные налоговые ставки. Проблема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последовательности в применении правил получила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освещение в последующих работах в области макроэкономики и нашла свое решение во введении правил, ограничивающих свободу действий экономических властей.</w:t>
      </w:r>
    </w:p>
    <w:p w:rsidR="009C2475" w:rsidRPr="00EF6E1E" w:rsidRDefault="009C2475" w:rsidP="00C332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Министерство финансов как макроэкономический институт проводит бюджетную политику. В периоды подъема экономики бюджетные доходы высоки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и ускоренно растут государственные расходы. В периоды экономического спада наблюдается обратная картина: расходы резко сокращаются, усиливая негативные последствия. Одним из способов смягчения отрицательных последствий проциклической фискальной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политики служит создание прозрачных правил расходования средств, которые должны предотвратить перекладывание избыточных долговых обязательств на будущие поколения. В настоящее время многие страны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ввели ограничения на величину бюджетного дефицита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EF6E1E">
        <w:rPr>
          <w:rFonts w:ascii="Times New Roman" w:eastAsia="TimesNewRomanPSMT" w:hAnsi="Times New Roman"/>
          <w:sz w:val="28"/>
          <w:szCs w:val="28"/>
          <w:lang w:val="ru-RU"/>
        </w:rPr>
        <w:t>и на размер государственного долга.</w:t>
      </w:r>
    </w:p>
    <w:p w:rsidR="009C2475" w:rsidRPr="00C332C8" w:rsidRDefault="009C2475" w:rsidP="00C32E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Следует отметить, что ряд исследователей ставит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вопрос о наличии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причинно-следственной связи между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уровнем инфляции и уровнем независимости центрального банка. В частности, делается предположение о том,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что не степень независимости способствует снижению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уровня инфляции, а наоборот. Такая точка зрения не лишена оснований, если исходить из того, что отставка руководителя центрального банка (снижение независимости, измеряемое показателем частоты смены руководства центрального банка) происходит вследствие допущенного ускорения темпов инфляции . В то же время встречаются доводы о наличии как прямой, так и обратной связи между темпами инфляции и степенью независимости центрального банка. Для группы развитых стран связь между ростом реального ВВП и показателем независимости центрального банка не установ-</w:t>
      </w:r>
    </w:p>
    <w:p w:rsidR="009C2475" w:rsidRPr="00C332C8" w:rsidRDefault="009C2475" w:rsidP="00C332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лена.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Для оценки независимости Центрального банка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Азербайджана (ЦБА) было проведено специальное исследование, использующее взвешенный индекс LVAW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и невзвешенный индекс LVAU . Индекс LVAW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получается на основе субъективного агрегирования.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Так, 16 различных характеристик законодательной независимости центрального банка агрегируются в 8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подгрупп, и они затем агрегируются в индекс LVAW.</w:t>
      </w:r>
    </w:p>
    <w:p w:rsidR="009C2475" w:rsidRDefault="009C2475" w:rsidP="00C32E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C332C8">
        <w:rPr>
          <w:rFonts w:ascii="Times New Roman" w:eastAsia="TimesNewRomanPSMT" w:hAnsi="Times New Roman"/>
          <w:sz w:val="28"/>
          <w:szCs w:val="28"/>
          <w:lang w:val="ru-RU"/>
        </w:rPr>
        <w:t>Каждой переменной в индексах LVAW и LVAU приписывается вес от 0 до 1, где 0 – полная зависимость центрального банка, 1 – полная независимость.</w:t>
      </w:r>
    </w:p>
    <w:p w:rsidR="009C2475" w:rsidRPr="00C32EEA" w:rsidRDefault="009C2475" w:rsidP="00C32E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Де-юре независимость Центрального банка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 xml:space="preserve">Азербайджана оценивалась в </w:t>
      </w:r>
      <w:smartTag w:uri="urn:schemas-microsoft-com:office:smarttags" w:element="metricconverter">
        <w:smartTagPr>
          <w:attr w:name="ProductID" w:val="2008 г"/>
        </w:smartTagPr>
        <w:r w:rsidRPr="00C32EEA">
          <w:rPr>
            <w:rFonts w:ascii="Times New Roman" w:eastAsia="TimesNewRomanPSMT" w:hAnsi="Times New Roman"/>
            <w:sz w:val="28"/>
            <w:szCs w:val="28"/>
            <w:lang w:val="ru-RU"/>
          </w:rPr>
          <w:t>2008 г</w:t>
        </w:r>
      </w:smartTag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. на основе изучения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трех редакций закона о центральном банке – 1992, 1996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и 2004 гг., и были получены следующие результаты.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 xml:space="preserve">Степень независимости Центрального банка Азербайджана согласно закону </w:t>
      </w:r>
      <w:smartTag w:uri="urn:schemas-microsoft-com:office:smarttags" w:element="metricconverter">
        <w:smartTagPr>
          <w:attr w:name="ProductID" w:val="1992 г"/>
        </w:smartTagPr>
        <w:r w:rsidRPr="00C32EEA">
          <w:rPr>
            <w:rFonts w:ascii="Times New Roman" w:eastAsia="TimesNewRomanPSMT" w:hAnsi="Times New Roman"/>
            <w:sz w:val="28"/>
            <w:szCs w:val="28"/>
            <w:lang w:val="ru-RU"/>
          </w:rPr>
          <w:t>1992 г</w:t>
        </w:r>
      </w:smartTag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. составляла 0,42. На тот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момент Азербайджан уступал по этому показателю многим странам с переходной экономикой. После принятия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 xml:space="preserve">закона </w:t>
      </w:r>
      <w:smartTag w:uri="urn:schemas-microsoft-com:office:smarttags" w:element="metricconverter">
        <w:smartTagPr>
          <w:attr w:name="ProductID" w:val="2004 г"/>
        </w:smartTagPr>
        <w:r w:rsidRPr="00C32EEA">
          <w:rPr>
            <w:rFonts w:ascii="Times New Roman" w:eastAsia="TimesNewRomanPSMT" w:hAnsi="Times New Roman"/>
            <w:sz w:val="28"/>
            <w:szCs w:val="28"/>
            <w:lang w:val="ru-RU"/>
          </w:rPr>
          <w:t>2004 г</w:t>
        </w:r>
      </w:smartTag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. независимость ЦБА поднялась до уровня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0,85. Этому способствовали следующие реформы:</w:t>
      </w:r>
    </w:p>
    <w:p w:rsidR="009C2475" w:rsidRPr="006C59E6" w:rsidRDefault="009C2475" w:rsidP="006C59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6C59E6">
        <w:rPr>
          <w:rFonts w:ascii="Times New Roman" w:eastAsia="TimesNewRomanPSMT" w:hAnsi="Times New Roman"/>
          <w:sz w:val="28"/>
          <w:szCs w:val="28"/>
          <w:lang w:val="ru-RU"/>
        </w:rPr>
        <w:t>поддержание стабильности уровня цен стало основной целью ЦБА;</w:t>
      </w:r>
    </w:p>
    <w:p w:rsidR="009C2475" w:rsidRPr="006C59E6" w:rsidRDefault="009C2475" w:rsidP="006C59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6C59E6">
        <w:rPr>
          <w:rFonts w:ascii="Times New Roman" w:eastAsia="TimesNewRomanPSMT" w:hAnsi="Times New Roman"/>
          <w:sz w:val="28"/>
          <w:szCs w:val="28"/>
          <w:lang w:val="ru-RU"/>
        </w:rPr>
        <w:t>Центральный банк стал независимым в проведении монетарной политики;</w:t>
      </w:r>
    </w:p>
    <w:p w:rsidR="009C2475" w:rsidRPr="006C59E6" w:rsidRDefault="009C2475" w:rsidP="006C59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6C59E6">
        <w:rPr>
          <w:rFonts w:ascii="Times New Roman" w:eastAsia="TimesNewRomanPSMT" w:hAnsi="Times New Roman"/>
          <w:sz w:val="28"/>
          <w:szCs w:val="28"/>
          <w:lang w:val="ru-RU"/>
        </w:rPr>
        <w:t>реформированы процедуры назначения председателя ЦБА и его снятия;</w:t>
      </w:r>
    </w:p>
    <w:p w:rsidR="009C2475" w:rsidRPr="006C59E6" w:rsidRDefault="009C2475" w:rsidP="006C59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6C59E6">
        <w:rPr>
          <w:rFonts w:ascii="Times New Roman" w:eastAsia="TimesNewRomanPSMT" w:hAnsi="Times New Roman"/>
          <w:sz w:val="28"/>
          <w:szCs w:val="28"/>
          <w:lang w:val="ru-RU"/>
        </w:rPr>
        <w:t>Центральный банк стал независимым в предоставлении ссуд правительству;</w:t>
      </w:r>
    </w:p>
    <w:p w:rsidR="009C2475" w:rsidRPr="006C59E6" w:rsidRDefault="009C2475" w:rsidP="006C59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6C59E6">
        <w:rPr>
          <w:rFonts w:ascii="Times New Roman" w:eastAsia="TimesNewRomanPSMT" w:hAnsi="Times New Roman"/>
          <w:sz w:val="28"/>
          <w:szCs w:val="28"/>
          <w:lang w:val="ru-RU"/>
        </w:rPr>
        <w:t>введена новая система подотчетности Центрального банка Азербайджана.</w:t>
      </w:r>
    </w:p>
    <w:p w:rsidR="009C2475" w:rsidRPr="00C32EEA" w:rsidRDefault="009C2475" w:rsidP="006C59E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Сравнение полученных результатов с аналогичными оценками для других переходных экономик показывает, что в условиях действующего законодательства Центральный банк Азербайджана обладае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т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одним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из самых высоких уровней независимости.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Азербайджан достаточно успешно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противостоял международному финансовому кризису.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 xml:space="preserve">Рост ВВП оставался высоким, составив 10,8% в </w:t>
      </w:r>
      <w:smartTag w:uri="urn:schemas-microsoft-com:office:smarttags" w:element="metricconverter">
        <w:smartTagPr>
          <w:attr w:name="ProductID" w:val="2008 г"/>
        </w:smartTagPr>
        <w:r w:rsidRPr="00C32EEA">
          <w:rPr>
            <w:rFonts w:ascii="Times New Roman" w:eastAsia="TimesNewRomanPSMT" w:hAnsi="Times New Roman"/>
            <w:sz w:val="28"/>
            <w:szCs w:val="28"/>
            <w:lang w:val="ru-RU"/>
          </w:rPr>
          <w:t>2008 г</w:t>
        </w:r>
      </w:smartTag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.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 xml:space="preserve">и 9,3% в </w:t>
      </w:r>
      <w:smartTag w:uri="urn:schemas-microsoft-com:office:smarttags" w:element="metricconverter">
        <w:smartTagPr>
          <w:attr w:name="ProductID" w:val="2009 г"/>
        </w:smartTagPr>
        <w:r w:rsidRPr="00C32EEA">
          <w:rPr>
            <w:rFonts w:ascii="Times New Roman" w:eastAsia="TimesNewRomanPSMT" w:hAnsi="Times New Roman"/>
            <w:sz w:val="28"/>
            <w:szCs w:val="28"/>
            <w:lang w:val="ru-RU"/>
          </w:rPr>
          <w:t>2009 г</w:t>
        </w:r>
      </w:smartTag>
      <w:r w:rsidRPr="00C32EEA">
        <w:rPr>
          <w:rFonts w:ascii="Times New Roman" w:eastAsia="TimesNewRomanPSMT" w:hAnsi="Times New Roman"/>
          <w:sz w:val="28"/>
          <w:szCs w:val="28"/>
          <w:lang w:val="ru-RU"/>
        </w:rPr>
        <w:t xml:space="preserve">. Полностью сохранилось доверие населения к банковской системе: на 1 июля </w:t>
      </w:r>
      <w:smartTag w:uri="urn:schemas-microsoft-com:office:smarttags" w:element="metricconverter">
        <w:smartTagPr>
          <w:attr w:name="ProductID" w:val="2010 г"/>
        </w:smartTagPr>
        <w:r w:rsidRPr="00C32EEA">
          <w:rPr>
            <w:rFonts w:ascii="Times New Roman" w:eastAsia="TimesNewRomanPSMT" w:hAnsi="Times New Roman"/>
            <w:sz w:val="28"/>
            <w:szCs w:val="28"/>
            <w:lang w:val="ru-RU"/>
          </w:rPr>
          <w:t>2010 г</w:t>
        </w:r>
      </w:smartTag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. Объем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банковских депозитов населения вырос с начала года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на 10%. Это обеспечило условия для сохранения темпов роста кредитования: рост кредитов за тот же период составил 5,2%.</w:t>
      </w:r>
    </w:p>
    <w:p w:rsidR="009C2475" w:rsidRPr="00C32EEA" w:rsidRDefault="009C2475" w:rsidP="00C32E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Вместе с тем мировой финансово-экономический кризис позволяет извлечь важные уроки, которые необходимо учитывать в послекризисный период.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Первый из них состоит в том, что инфляционный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фактор важен, но недостаточен. Центральный банк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должен решать более широкую задачу обеспечения макроэкономической стабильности в целом. Кроме того,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возможно, нецелесообразно устанавливать чрезмерно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низкие целевые ориентиры инфляции, поскольку это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может ограничить возможности денежно-кредитной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политики в периоды рецессий. Для борьбы с рецессией даже нулевые процентные ставки и массовые эмиссии центральных банков не помогли выйти из кризиса, борьба с ней потребовала значительного расширения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фискальных стимулов.</w:t>
      </w:r>
    </w:p>
    <w:p w:rsidR="009C2475" w:rsidRPr="00C32EEA" w:rsidRDefault="009C2475" w:rsidP="00C32E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Полагаем, макроэкономическая политика Азербайджана должна формироваться на трех уровнях: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монетарный – таргеты: инфляция, инвестиционный и внешний спрос;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фискальный – таргеты: совокупный спрос и занятость;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финансовый – таргеты: системная стабильность и</w:t>
      </w:r>
      <w:r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C32EEA">
        <w:rPr>
          <w:rFonts w:ascii="Times New Roman" w:eastAsia="TimesNewRomanPSMT" w:hAnsi="Times New Roman"/>
          <w:sz w:val="28"/>
          <w:szCs w:val="28"/>
          <w:lang w:val="ru-RU"/>
        </w:rPr>
        <w:t>предотвращение формирования «пузырей».</w:t>
      </w:r>
    </w:p>
    <w:p w:rsidR="009C2475" w:rsidRPr="00C32EEA" w:rsidRDefault="009C2475" w:rsidP="00C32E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</w:p>
    <w:sectPr w:rsidR="009C2475" w:rsidRPr="00C32EEA" w:rsidSect="000B234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872F4"/>
    <w:multiLevelType w:val="hybridMultilevel"/>
    <w:tmpl w:val="7292A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64C"/>
    <w:rsid w:val="000B2341"/>
    <w:rsid w:val="001C3D4C"/>
    <w:rsid w:val="001F7E37"/>
    <w:rsid w:val="003A1E63"/>
    <w:rsid w:val="003A6920"/>
    <w:rsid w:val="003F5CE4"/>
    <w:rsid w:val="00426B15"/>
    <w:rsid w:val="004C09B6"/>
    <w:rsid w:val="00506D21"/>
    <w:rsid w:val="005F5EB5"/>
    <w:rsid w:val="00692106"/>
    <w:rsid w:val="006C59E6"/>
    <w:rsid w:val="006D621A"/>
    <w:rsid w:val="00715950"/>
    <w:rsid w:val="00721C48"/>
    <w:rsid w:val="007C20F8"/>
    <w:rsid w:val="00815017"/>
    <w:rsid w:val="00863E04"/>
    <w:rsid w:val="0086598A"/>
    <w:rsid w:val="008E4158"/>
    <w:rsid w:val="00974C5A"/>
    <w:rsid w:val="009C2475"/>
    <w:rsid w:val="009E364C"/>
    <w:rsid w:val="00A350EC"/>
    <w:rsid w:val="00A51926"/>
    <w:rsid w:val="00A60268"/>
    <w:rsid w:val="00AF26E0"/>
    <w:rsid w:val="00B66320"/>
    <w:rsid w:val="00C24188"/>
    <w:rsid w:val="00C32EEA"/>
    <w:rsid w:val="00C332C8"/>
    <w:rsid w:val="00CD12EB"/>
    <w:rsid w:val="00EF6E1E"/>
    <w:rsid w:val="00F649B5"/>
    <w:rsid w:val="00FD2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F5CE4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5CE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5CE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5CE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5CE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5CE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5CE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F5CE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F5CE4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F5CE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5CE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F5CE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F5CE4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F5CE4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F5CE4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F5CE4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F5CE4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F5CE4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F5CE4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3F5CE4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F5CE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F5CE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F5CE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F5CE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3F5CE4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3F5CE4"/>
    <w:rPr>
      <w:rFonts w:cs="Times New Roman"/>
      <w:i/>
      <w:iCs/>
    </w:rPr>
  </w:style>
  <w:style w:type="paragraph" w:styleId="NoSpacing">
    <w:name w:val="No Spacing"/>
    <w:link w:val="NoSpacingChar"/>
    <w:uiPriority w:val="99"/>
    <w:qFormat/>
    <w:rsid w:val="003F5CE4"/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3F5CE4"/>
    <w:rPr>
      <w:rFonts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3F5CE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3F5CE4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3F5CE4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F5CE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F5CE4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3F5CE4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3F5CE4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3F5CE4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3F5CE4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F5CE4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F5CE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4</Pages>
  <Words>4304</Words>
  <Characters>2454</Characters>
  <Application>Microsoft Office Outlook</Application>
  <DocSecurity>0</DocSecurity>
  <Lines>0</Lines>
  <Paragraphs>0</Paragraphs>
  <ScaleCrop>false</ScaleCrop>
  <Company>TFI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kiqn</dc:creator>
  <cp:keywords/>
  <dc:description/>
  <cp:lastModifiedBy>Admin</cp:lastModifiedBy>
  <cp:revision>6</cp:revision>
  <dcterms:created xsi:type="dcterms:W3CDTF">2014-12-02T03:57:00Z</dcterms:created>
  <dcterms:modified xsi:type="dcterms:W3CDTF">2015-02-18T10:08:00Z</dcterms:modified>
</cp:coreProperties>
</file>