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3BD" w:rsidRPr="00725B0B" w:rsidRDefault="006153BD" w:rsidP="008D4966">
      <w:pPr>
        <w:spacing w:after="0" w:line="240" w:lineRule="auto"/>
        <w:jc w:val="right"/>
        <w:rPr>
          <w:rFonts w:ascii="Times New Roman" w:hAnsi="Times New Roman"/>
          <w:b/>
          <w:sz w:val="28"/>
          <w:szCs w:val="28"/>
        </w:rPr>
      </w:pPr>
      <w:r w:rsidRPr="00840154">
        <w:rPr>
          <w:rFonts w:ascii="Times New Roman" w:hAnsi="Times New Roman"/>
          <w:b/>
          <w:sz w:val="28"/>
          <w:szCs w:val="28"/>
          <w:lang w:val="uz-Cyrl-UZ"/>
        </w:rPr>
        <w:t>Ҳ.</w:t>
      </w:r>
      <w:r w:rsidRPr="009754EC">
        <w:rPr>
          <w:rFonts w:ascii="Times New Roman" w:hAnsi="Times New Roman"/>
          <w:b/>
          <w:sz w:val="28"/>
          <w:szCs w:val="28"/>
          <w:lang w:val="uz-Cyrl-UZ"/>
        </w:rPr>
        <w:t xml:space="preserve"> </w:t>
      </w:r>
      <w:r w:rsidRPr="00840154">
        <w:rPr>
          <w:rFonts w:ascii="Times New Roman" w:hAnsi="Times New Roman"/>
          <w:b/>
          <w:sz w:val="28"/>
          <w:szCs w:val="28"/>
          <w:lang w:val="uz-Cyrl-UZ"/>
        </w:rPr>
        <w:t>Абдураҳмонов</w:t>
      </w:r>
      <w:r>
        <w:rPr>
          <w:rFonts w:ascii="Times New Roman" w:hAnsi="Times New Roman"/>
          <w:b/>
          <w:sz w:val="28"/>
          <w:szCs w:val="28"/>
          <w:lang w:val="uz-Cyrl-UZ"/>
        </w:rPr>
        <w:t xml:space="preserve"> </w:t>
      </w:r>
    </w:p>
    <w:p w:rsidR="006153BD" w:rsidRPr="009754EC" w:rsidRDefault="006153BD" w:rsidP="008D4966">
      <w:pPr>
        <w:spacing w:after="0" w:line="240" w:lineRule="auto"/>
        <w:jc w:val="right"/>
        <w:rPr>
          <w:rFonts w:ascii="Times New Roman" w:hAnsi="Times New Roman"/>
          <w:b/>
          <w:sz w:val="28"/>
          <w:szCs w:val="28"/>
          <w:lang w:val="uz-Cyrl-UZ"/>
        </w:rPr>
      </w:pPr>
      <w:r w:rsidRPr="009754EC">
        <w:rPr>
          <w:rFonts w:ascii="Times New Roman" w:hAnsi="Times New Roman"/>
          <w:b/>
          <w:sz w:val="28"/>
          <w:szCs w:val="28"/>
          <w:lang w:val="uz-Cyrl-UZ"/>
        </w:rPr>
        <w:t xml:space="preserve">(Ташкент, </w:t>
      </w:r>
      <w:r>
        <w:rPr>
          <w:rFonts w:ascii="Times New Roman" w:hAnsi="Times New Roman"/>
          <w:b/>
          <w:sz w:val="28"/>
          <w:szCs w:val="28"/>
          <w:lang w:val="uz-Cyrl-UZ"/>
        </w:rPr>
        <w:t>У</w:t>
      </w:r>
      <w:r w:rsidRPr="00840154">
        <w:rPr>
          <w:rFonts w:ascii="Times New Roman" w:hAnsi="Times New Roman"/>
          <w:b/>
          <w:sz w:val="28"/>
          <w:szCs w:val="28"/>
          <w:lang w:val="uz-Cyrl-UZ"/>
        </w:rPr>
        <w:t>збекист</w:t>
      </w:r>
      <w:r>
        <w:rPr>
          <w:rFonts w:ascii="Times New Roman" w:hAnsi="Times New Roman"/>
          <w:b/>
          <w:sz w:val="28"/>
          <w:szCs w:val="28"/>
          <w:lang w:val="uz-Cyrl-UZ"/>
        </w:rPr>
        <w:t>а</w:t>
      </w:r>
      <w:r w:rsidRPr="00840154">
        <w:rPr>
          <w:rFonts w:ascii="Times New Roman" w:hAnsi="Times New Roman"/>
          <w:b/>
          <w:sz w:val="28"/>
          <w:szCs w:val="28"/>
          <w:lang w:val="uz-Cyrl-UZ"/>
        </w:rPr>
        <w:t>н)</w:t>
      </w:r>
    </w:p>
    <w:p w:rsidR="006153BD" w:rsidRPr="009754EC" w:rsidRDefault="006153BD" w:rsidP="008D4966">
      <w:pPr>
        <w:spacing w:after="0" w:line="240" w:lineRule="auto"/>
        <w:jc w:val="right"/>
        <w:rPr>
          <w:rFonts w:ascii="Times New Roman" w:hAnsi="Times New Roman"/>
          <w:b/>
          <w:sz w:val="28"/>
          <w:szCs w:val="28"/>
          <w:lang w:val="uz-Cyrl-UZ"/>
        </w:rPr>
      </w:pPr>
    </w:p>
    <w:p w:rsidR="006153BD" w:rsidRPr="009B1EBE" w:rsidRDefault="006153BD" w:rsidP="00CB75F5">
      <w:pPr>
        <w:jc w:val="center"/>
        <w:rPr>
          <w:rFonts w:ascii="Times New Roman" w:hAnsi="Times New Roman"/>
          <w:b/>
          <w:sz w:val="28"/>
          <w:szCs w:val="28"/>
          <w:lang w:val="uz-Cyrl-UZ"/>
        </w:rPr>
      </w:pPr>
      <w:r w:rsidRPr="009B1EBE">
        <w:rPr>
          <w:rFonts w:ascii="Times New Roman" w:hAnsi="Times New Roman"/>
          <w:b/>
          <w:sz w:val="28"/>
          <w:szCs w:val="28"/>
          <w:lang w:val="uz-Cyrl-UZ"/>
        </w:rPr>
        <w:t xml:space="preserve">СОЛИҚ </w:t>
      </w:r>
      <w:r>
        <w:rPr>
          <w:rFonts w:ascii="Times New Roman" w:hAnsi="Times New Roman"/>
          <w:b/>
          <w:sz w:val="28"/>
          <w:szCs w:val="28"/>
          <w:lang w:val="uz-Cyrl-UZ"/>
        </w:rPr>
        <w:t>ЮКИ</w:t>
      </w:r>
      <w:r w:rsidRPr="00F00A49">
        <w:rPr>
          <w:rFonts w:ascii="Times New Roman" w:hAnsi="Times New Roman"/>
          <w:b/>
          <w:sz w:val="28"/>
          <w:szCs w:val="28"/>
          <w:lang w:val="uz-Cyrl-UZ"/>
        </w:rPr>
        <w:t xml:space="preserve"> </w:t>
      </w:r>
      <w:r>
        <w:rPr>
          <w:rFonts w:ascii="Times New Roman" w:hAnsi="Times New Roman"/>
          <w:b/>
          <w:sz w:val="28"/>
          <w:szCs w:val="28"/>
          <w:lang w:val="uz-Cyrl-UZ"/>
        </w:rPr>
        <w:t>ВА УНИ ҲИСОБЛАШНИНГ</w:t>
      </w:r>
      <w:r w:rsidRPr="009B1EBE">
        <w:rPr>
          <w:rFonts w:ascii="Times New Roman" w:hAnsi="Times New Roman"/>
          <w:b/>
          <w:sz w:val="28"/>
          <w:szCs w:val="28"/>
          <w:lang w:val="uz-Cyrl-UZ"/>
        </w:rPr>
        <w:t xml:space="preserve"> </w:t>
      </w:r>
      <w:r>
        <w:rPr>
          <w:rFonts w:ascii="Times New Roman" w:hAnsi="Times New Roman"/>
          <w:b/>
          <w:sz w:val="28"/>
          <w:szCs w:val="28"/>
          <w:lang w:val="uz-Cyrl-UZ"/>
        </w:rPr>
        <w:t>ҲОЗИРГИ МОДЕЛЛАРИ</w:t>
      </w:r>
      <w:r w:rsidRPr="009B1EBE">
        <w:rPr>
          <w:rFonts w:ascii="Times New Roman" w:hAnsi="Times New Roman"/>
          <w:b/>
          <w:sz w:val="28"/>
          <w:szCs w:val="28"/>
          <w:lang w:val="uz-Cyrl-UZ"/>
        </w:rPr>
        <w:t xml:space="preserve"> </w:t>
      </w:r>
    </w:p>
    <w:p w:rsidR="006153BD" w:rsidRPr="00725B0B" w:rsidRDefault="006153BD" w:rsidP="00BF4382">
      <w:pPr>
        <w:autoSpaceDE w:val="0"/>
        <w:autoSpaceDN w:val="0"/>
        <w:adjustRightInd w:val="0"/>
        <w:spacing w:after="0" w:line="240" w:lineRule="auto"/>
        <w:jc w:val="both"/>
        <w:rPr>
          <w:rFonts w:ascii="Times New Roman" w:eastAsia="TimesNewRomanPSMT" w:hAnsi="Times New Roman"/>
          <w:i/>
          <w:sz w:val="28"/>
          <w:szCs w:val="28"/>
        </w:rPr>
      </w:pPr>
    </w:p>
    <w:p w:rsidR="006153BD" w:rsidRDefault="006153BD" w:rsidP="001F153F">
      <w:pPr>
        <w:autoSpaceDE w:val="0"/>
        <w:autoSpaceDN w:val="0"/>
        <w:adjustRightInd w:val="0"/>
        <w:spacing w:after="0" w:line="360" w:lineRule="auto"/>
        <w:ind w:firstLine="567"/>
        <w:jc w:val="both"/>
        <w:rPr>
          <w:rFonts w:ascii="Times New Roman" w:hAnsi="Times New Roman"/>
          <w:sz w:val="28"/>
          <w:szCs w:val="28"/>
          <w:lang w:val="uz-Cyrl-UZ"/>
        </w:rPr>
      </w:pPr>
      <w:r>
        <w:rPr>
          <w:rFonts w:ascii="Times New Roman" w:hAnsi="Times New Roman"/>
          <w:sz w:val="28"/>
          <w:szCs w:val="28"/>
          <w:lang w:val="uz-Cyrl-UZ"/>
        </w:rPr>
        <w:t>Илмий адабиётларда солиқ оғирлиги қанчалик паст бўлса, давлат иқтисодиётининг ривожланиши ҳам шунга мос равишда ўсиш тенденциясига эга бўлади</w:t>
      </w:r>
      <w:r w:rsidRPr="00B21278">
        <w:rPr>
          <w:rFonts w:ascii="Times New Roman" w:hAnsi="Times New Roman"/>
          <w:sz w:val="28"/>
          <w:szCs w:val="28"/>
          <w:lang w:val="uz-Cyrl-UZ"/>
        </w:rPr>
        <w:t xml:space="preserve">. </w:t>
      </w:r>
      <w:r>
        <w:rPr>
          <w:rFonts w:ascii="Times New Roman" w:hAnsi="Times New Roman"/>
          <w:sz w:val="28"/>
          <w:szCs w:val="28"/>
          <w:lang w:val="uz-Cyrl-UZ"/>
        </w:rPr>
        <w:t>Шунингдек, илмий изланишдарда хўжалик юритучи субъектлар зиммасидаги солиқ юкини ҳисоблашнинг турли усуллари мавжудлиги тўғрисида етарлича маълумотларни учратиш мумкин. Маҳсулот таннархини шакллантиришда корхонанинг солиққа оид харажатлари бошқа моддий харажатлар билан бир қаторда туради. Шу жиҳатдан олиб қараганда, солиқ юкини ҳисоблаб чиқаришнинг илғор усулларидан фойдаланиш реал вазиятни тўлиқ ифодалаб беради.</w:t>
      </w:r>
    </w:p>
    <w:p w:rsidR="006153BD" w:rsidRPr="0025451B"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sidRPr="0025451B">
        <w:rPr>
          <w:rFonts w:ascii="Times New Roman" w:eastAsia="TimesNewRomanPSMT" w:hAnsi="Times New Roman"/>
          <w:sz w:val="28"/>
          <w:szCs w:val="28"/>
          <w:lang w:val="uz-Cyrl-UZ"/>
        </w:rPr>
        <w:t xml:space="preserve">Маълумки, инвестициялар ҳар қандай жамиятда иқтисодий ўсишнинг муҳим омили сифатида эътироф этилади. Шу борада капитални ўстиришига таъсир ўтказувчи ҳамда иқтисодий ўсишни рағбатлантирувчи омиллар ичида солиққа тортиш масаласи муҳим ўрин тутади. Иқтисодиётда қулай инвестицион муҳитни яратишда мақбул солиқ режимини қўллаш орқали солиқ тўловчиларнинг ҳақли эътирозларига сабаб бўлаётган айрим муаммоларни, хусусан улар зиммасидаги солиқ юкини янада камайтириш мумкин. </w:t>
      </w:r>
    </w:p>
    <w:p w:rsidR="006153BD"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Маълумки, солиқ ставкасининг пасайтирилиши, амортизацион схемаларнинг замон талабларидан келиб чиққан ҳолда такомиллаштирилиши, халқаро талаблардан келиб чиққан ҳолда солиққа тортиш базасини ўзгариши орқали инвестицион муҳит янада қулайроқ кўриниш олиши мумкин.</w:t>
      </w:r>
    </w:p>
    <w:p w:rsidR="006153BD"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И</w:t>
      </w:r>
      <w:r w:rsidRPr="006F1A88">
        <w:rPr>
          <w:rFonts w:ascii="Times New Roman" w:eastAsia="TimesNewRomanPSMT" w:hAnsi="Times New Roman"/>
          <w:sz w:val="28"/>
          <w:szCs w:val="28"/>
          <w:lang w:val="uz-Cyrl-UZ"/>
        </w:rPr>
        <w:t>қтисодий адабиётларда мамлакат солиқ қонунчилигининг талаблари инвестициялар ва капитални жамғариш жараёнига тўғридан-тўғри таъсир ўтказиши келтириб ўтилган. Корхоналарнинг фойда ва мулк солиқлари, шунингдек бизнес харажатларининг солиққа тортиш мақсадларида тан олиниши ва солиқ қонунчилигининг бошқа масалалари корхона ихтиёрида солиқ тўлагандан кейин қоладиган фойда миқдорига таъсир ўтказмасдан қолмайди. Jorgensen ва Siebert (1968) томонидан солиққа тортишнинг инвестицияларга таъсирини баҳолашга нисбатан икки томонлама ёндашилганлигини кўриш мумкин</w:t>
      </w:r>
      <w:r>
        <w:rPr>
          <w:rFonts w:ascii="Times New Roman" w:eastAsia="TimesNewRomanPSMT" w:hAnsi="Times New Roman"/>
          <w:sz w:val="28"/>
          <w:szCs w:val="28"/>
          <w:lang w:val="uz-Cyrl-UZ"/>
        </w:rPr>
        <w:t xml:space="preserve"> </w:t>
      </w:r>
      <w:r w:rsidRPr="00B00DBF">
        <w:rPr>
          <w:rFonts w:ascii="Times New Roman" w:eastAsia="TimesNewRomanPSMT" w:hAnsi="Times New Roman"/>
          <w:b/>
          <w:i/>
          <w:sz w:val="28"/>
          <w:szCs w:val="28"/>
          <w:lang w:val="uz-Cyrl-UZ"/>
        </w:rPr>
        <w:t>(1)</w:t>
      </w:r>
      <w:r w:rsidRPr="006F1A88">
        <w:rPr>
          <w:rFonts w:ascii="Times New Roman" w:eastAsia="TimesNewRomanPSMT" w:hAnsi="Times New Roman"/>
          <w:sz w:val="28"/>
          <w:szCs w:val="28"/>
          <w:lang w:val="uz-Cyrl-UZ"/>
        </w:rPr>
        <w:t>. Биринчи ёндашув жамғариш ва инвестиция жараёнларини иқтисодий моделлаштириш билан ифодаланса, иккинчи ёндашув эффектив (самарали) солиқ ставкалари (</w:t>
      </w:r>
      <w:r w:rsidRPr="006F1A88">
        <w:rPr>
          <w:rFonts w:ascii="Times New Roman" w:eastAsia="TimesNewRomanPS-ItalicMT" w:hAnsi="Times New Roman"/>
          <w:i/>
          <w:iCs/>
          <w:sz w:val="28"/>
          <w:szCs w:val="28"/>
          <w:lang w:val="uz-Cyrl-UZ"/>
        </w:rPr>
        <w:t xml:space="preserve">effective tax rates </w:t>
      </w:r>
      <w:r w:rsidRPr="006F1A88">
        <w:rPr>
          <w:rFonts w:ascii="Times New Roman" w:eastAsia="TimesNewRomanPSMT" w:hAnsi="Times New Roman"/>
          <w:sz w:val="28"/>
          <w:szCs w:val="28"/>
          <w:lang w:val="uz-Cyrl-UZ"/>
        </w:rPr>
        <w:t xml:space="preserve">— </w:t>
      </w:r>
      <w:r w:rsidRPr="006F1A88">
        <w:rPr>
          <w:rFonts w:ascii="Times New Roman" w:eastAsia="TimesNewRomanPS-ItalicMT" w:hAnsi="Times New Roman"/>
          <w:i/>
          <w:iCs/>
          <w:sz w:val="28"/>
          <w:szCs w:val="28"/>
          <w:lang w:val="uz-Cyrl-UZ"/>
        </w:rPr>
        <w:t>ETR</w:t>
      </w:r>
      <w:r w:rsidRPr="006F1A88">
        <w:rPr>
          <w:rFonts w:ascii="Times New Roman" w:eastAsia="TimesNewRomanPSMT" w:hAnsi="Times New Roman"/>
          <w:sz w:val="28"/>
          <w:szCs w:val="28"/>
          <w:lang w:val="uz-Cyrl-UZ"/>
        </w:rPr>
        <w:t xml:space="preserve">) асосида ифодаланадиган солиқ юкини баҳолашдан иборат. </w:t>
      </w:r>
      <w:r w:rsidRPr="006F1A88">
        <w:rPr>
          <w:rFonts w:ascii="Times New Roman" w:eastAsia="TimesNewRomanPS-ItalicMT" w:hAnsi="Times New Roman"/>
          <w:i/>
          <w:iCs/>
          <w:sz w:val="28"/>
          <w:szCs w:val="28"/>
          <w:lang w:val="uz-Cyrl-UZ"/>
        </w:rPr>
        <w:t xml:space="preserve">ETR </w:t>
      </w:r>
      <w:r w:rsidRPr="006F1A88">
        <w:rPr>
          <w:rFonts w:ascii="Times New Roman" w:eastAsia="TimesNewRomanPS-ItalicMT" w:hAnsi="Times New Roman"/>
          <w:iCs/>
          <w:sz w:val="28"/>
          <w:szCs w:val="28"/>
          <w:lang w:val="uz-Cyrl-UZ"/>
        </w:rPr>
        <w:t xml:space="preserve">асосида солиқ юкини баҳолашни икки хилда ўтказиш мумкин </w:t>
      </w:r>
      <w:r w:rsidRPr="006F1A88">
        <w:rPr>
          <w:rFonts w:ascii="Times New Roman" w:eastAsia="TimesNewRomanPSMT" w:hAnsi="Times New Roman"/>
          <w:sz w:val="28"/>
          <w:szCs w:val="28"/>
          <w:lang w:val="uz-Cyrl-UZ"/>
        </w:rPr>
        <w:t>(батафсил маълумот Giannini, Maggiulli, 2002)</w:t>
      </w:r>
      <w:r w:rsidRPr="003F1312">
        <w:rPr>
          <w:rFonts w:ascii="Times New Roman" w:eastAsia="TimesNewRomanPSMT" w:hAnsi="Times New Roman"/>
          <w:sz w:val="28"/>
          <w:szCs w:val="28"/>
          <w:lang w:val="uz-Cyrl-UZ"/>
        </w:rPr>
        <w:t xml:space="preserve"> </w:t>
      </w:r>
      <w:r w:rsidRPr="00B00DBF">
        <w:rPr>
          <w:rFonts w:ascii="Times New Roman" w:eastAsia="TimesNewRomanPSMT" w:hAnsi="Times New Roman"/>
          <w:b/>
          <w:i/>
          <w:sz w:val="28"/>
          <w:szCs w:val="28"/>
          <w:lang w:val="uz-Cyrl-UZ"/>
        </w:rPr>
        <w:t>(2)</w:t>
      </w:r>
      <w:r w:rsidRPr="006F1A88">
        <w:rPr>
          <w:rFonts w:ascii="Times New Roman" w:eastAsia="TimesNewRomanPSMT" w:hAnsi="Times New Roman"/>
          <w:sz w:val="28"/>
          <w:szCs w:val="28"/>
          <w:lang w:val="uz-Cyrl-UZ"/>
        </w:rPr>
        <w:t xml:space="preserve">. Биринчидан </w:t>
      </w:r>
      <w:r>
        <w:rPr>
          <w:rFonts w:ascii="Times New Roman" w:eastAsia="TimesNewRomanPSMT" w:hAnsi="Times New Roman"/>
          <w:sz w:val="28"/>
          <w:szCs w:val="28"/>
          <w:lang w:val="uz-Cyrl-UZ"/>
        </w:rPr>
        <w:t xml:space="preserve">эффектив (самарали) </w:t>
      </w:r>
      <w:r w:rsidRPr="006F1A88">
        <w:rPr>
          <w:rFonts w:ascii="Times New Roman" w:eastAsia="TimesNewRomanPSMT" w:hAnsi="Times New Roman"/>
          <w:sz w:val="28"/>
          <w:szCs w:val="28"/>
          <w:lang w:val="uz-Cyrl-UZ"/>
        </w:rPr>
        <w:t xml:space="preserve">солиқ юкини </w:t>
      </w:r>
      <w:r>
        <w:rPr>
          <w:rFonts w:ascii="Times New Roman" w:eastAsia="TimesNewRomanPSMT" w:hAnsi="Times New Roman"/>
          <w:sz w:val="28"/>
          <w:szCs w:val="28"/>
          <w:lang w:val="uz-Cyrl-UZ"/>
        </w:rPr>
        <w:t xml:space="preserve">баҳолашда </w:t>
      </w:r>
      <w:r w:rsidRPr="006F1A88">
        <w:rPr>
          <w:rFonts w:ascii="Times New Roman" w:eastAsia="TimesNewRomanPSMT" w:hAnsi="Times New Roman"/>
          <w:sz w:val="28"/>
          <w:szCs w:val="28"/>
          <w:lang w:val="uz-Cyrl-UZ"/>
        </w:rPr>
        <w:t>йиғ</w:t>
      </w:r>
      <w:r>
        <w:rPr>
          <w:rFonts w:ascii="Times New Roman" w:eastAsia="TimesNewRomanPSMT" w:hAnsi="Times New Roman"/>
          <w:sz w:val="28"/>
          <w:szCs w:val="28"/>
          <w:lang w:val="uz-Cyrl-UZ"/>
        </w:rPr>
        <w:t>ма</w:t>
      </w:r>
      <w:r w:rsidRPr="006F1A88">
        <w:rPr>
          <w:rFonts w:ascii="Times New Roman" w:eastAsia="TimesNewRomanPSMT" w:hAnsi="Times New Roman"/>
          <w:sz w:val="28"/>
          <w:szCs w:val="28"/>
          <w:lang w:val="uz-Cyrl-UZ"/>
        </w:rPr>
        <w:t xml:space="preserve"> макроиқтисодий </w:t>
      </w:r>
      <w:r>
        <w:rPr>
          <w:rFonts w:ascii="Times New Roman" w:eastAsia="TimesNewRomanPSMT" w:hAnsi="Times New Roman"/>
          <w:sz w:val="28"/>
          <w:szCs w:val="28"/>
          <w:lang w:val="uz-Cyrl-UZ"/>
        </w:rPr>
        <w:t xml:space="preserve">кўрсаткичлар ёки алоҳида олинган фирма кўрсаткичларидан келиб чиққан ҳолда чиқариш мумкин. </w:t>
      </w:r>
      <w:r w:rsidRPr="00D75923">
        <w:rPr>
          <w:rFonts w:ascii="Times New Roman" w:eastAsia="TimesNewRomanPSMT" w:hAnsi="Times New Roman"/>
          <w:sz w:val="28"/>
          <w:szCs w:val="28"/>
          <w:lang w:val="uz-Cyrl-UZ"/>
        </w:rPr>
        <w:t>Бу эса ўз навбатида “орқага қаровчи” (backward-looking) макро ёки микро ёндашув бўлиши мумкин. Эффектив (самарали) солиқ юкини аниқлашнинг иккинчи варианти "ex-ante" кўрсаткичини</w:t>
      </w:r>
      <w:r>
        <w:rPr>
          <w:rFonts w:ascii="Times New Roman" w:eastAsia="TimesNewRomanPSMT" w:hAnsi="Times New Roman"/>
          <w:sz w:val="28"/>
          <w:szCs w:val="28"/>
          <w:lang w:val="uz-Cyrl-UZ"/>
        </w:rPr>
        <w:t>нг</w:t>
      </w:r>
      <w:r w:rsidRPr="00D75923">
        <w:rPr>
          <w:rFonts w:ascii="Times New Roman" w:eastAsia="TimesNewRomanPSMT" w:hAnsi="Times New Roman"/>
          <w:sz w:val="28"/>
          <w:szCs w:val="28"/>
          <w:lang w:val="uz-Cyrl-UZ"/>
        </w:rPr>
        <w:t xml:space="preserve"> келгуси давр гипотетик инвестицион лойиҳалари учун солиқ юкини ҳисоблаш билан ифодаланади.</w:t>
      </w:r>
      <w:r>
        <w:rPr>
          <w:rFonts w:ascii="Times New Roman" w:eastAsia="TimesNewRomanPSMT" w:hAnsi="Times New Roman"/>
          <w:sz w:val="28"/>
          <w:szCs w:val="28"/>
          <w:lang w:val="uz-Cyrl-UZ"/>
        </w:rPr>
        <w:t xml:space="preserve"> Шу борада инвесторнинг келгусидаги гипотетик ҳатти</w:t>
      </w:r>
      <w:r w:rsidRPr="00C4359E">
        <w:rPr>
          <w:rFonts w:ascii="Times New Roman" w:eastAsia="TimesNewRomanPSMT" w:hAnsi="Times New Roman"/>
          <w:sz w:val="28"/>
          <w:szCs w:val="28"/>
          <w:lang w:val="uz-Cyrl-UZ"/>
        </w:rPr>
        <w:t>-</w:t>
      </w:r>
      <w:r>
        <w:rPr>
          <w:rFonts w:ascii="Times New Roman" w:eastAsia="TimesNewRomanPSMT" w:hAnsi="Times New Roman"/>
          <w:sz w:val="28"/>
          <w:szCs w:val="28"/>
          <w:lang w:val="uz-Cyrl-UZ"/>
        </w:rPr>
        <w:t>ҳаракати борасидаги тахминларга асосланган кўрсаткичларни “олдинга қаровчи” (</w:t>
      </w:r>
      <w:r w:rsidRPr="003F46E1">
        <w:rPr>
          <w:rFonts w:ascii="Times New Roman" w:eastAsia="TimesNewRomanPSMT" w:hAnsi="Times New Roman"/>
          <w:sz w:val="28"/>
          <w:szCs w:val="28"/>
          <w:lang w:val="uz-Cyrl-UZ"/>
        </w:rPr>
        <w:t>forward-looking</w:t>
      </w:r>
      <w:r>
        <w:rPr>
          <w:rFonts w:ascii="Times New Roman" w:eastAsia="TimesNewRomanPSMT" w:hAnsi="Times New Roman"/>
          <w:sz w:val="28"/>
          <w:szCs w:val="28"/>
          <w:lang w:val="uz-Cyrl-UZ"/>
        </w:rPr>
        <w:t>)</w:t>
      </w:r>
      <w:r w:rsidRPr="003F46E1">
        <w:rPr>
          <w:rFonts w:ascii="Times New Roman" w:eastAsia="TimesNewRomanPSMT" w:hAnsi="Times New Roman"/>
          <w:sz w:val="28"/>
          <w:szCs w:val="28"/>
          <w:lang w:val="uz-Cyrl-UZ"/>
        </w:rPr>
        <w:t xml:space="preserve"> </w:t>
      </w:r>
      <w:r>
        <w:rPr>
          <w:rFonts w:ascii="Times New Roman" w:eastAsia="TimesNewRomanPSMT" w:hAnsi="Times New Roman"/>
          <w:sz w:val="28"/>
          <w:szCs w:val="28"/>
          <w:lang w:val="uz-Cyrl-UZ"/>
        </w:rPr>
        <w:t>сифатида эътироф этилади</w:t>
      </w:r>
      <w:r w:rsidRPr="00B00DBF">
        <w:rPr>
          <w:rFonts w:ascii="Times New Roman" w:eastAsia="TimesNewRomanPSMT" w:hAnsi="Times New Roman"/>
          <w:sz w:val="28"/>
          <w:szCs w:val="28"/>
          <w:lang w:val="uz-Cyrl-UZ"/>
        </w:rPr>
        <w:t xml:space="preserve"> </w:t>
      </w:r>
      <w:r w:rsidRPr="00B00DBF">
        <w:rPr>
          <w:rFonts w:ascii="Times New Roman" w:eastAsia="TimesNewRomanPSMT" w:hAnsi="Times New Roman"/>
          <w:b/>
          <w:i/>
          <w:sz w:val="28"/>
          <w:szCs w:val="28"/>
          <w:lang w:val="uz-Cyrl-UZ"/>
        </w:rPr>
        <w:t>(3).</w:t>
      </w:r>
    </w:p>
    <w:p w:rsidR="006153BD"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Эффектив (самарали) солиқ ставкалари (</w:t>
      </w:r>
      <w:r w:rsidRPr="00C0410B">
        <w:rPr>
          <w:rFonts w:ascii="Times New Roman" w:eastAsia="TimesNewRomanPSMT" w:hAnsi="Times New Roman"/>
          <w:sz w:val="28"/>
          <w:szCs w:val="28"/>
          <w:lang w:val="uz-Cyrl-UZ"/>
        </w:rPr>
        <w:t>ETR</w:t>
      </w:r>
      <w:r>
        <w:rPr>
          <w:rFonts w:ascii="Times New Roman" w:eastAsia="TimesNewRomanPSMT" w:hAnsi="Times New Roman"/>
          <w:sz w:val="28"/>
          <w:szCs w:val="28"/>
          <w:lang w:val="uz-Cyrl-UZ"/>
        </w:rPr>
        <w:t>)</w:t>
      </w:r>
      <w:r w:rsidRPr="00C0410B">
        <w:rPr>
          <w:rFonts w:ascii="Times New Roman" w:eastAsia="TimesNewRomanPSMT" w:hAnsi="Times New Roman"/>
          <w:sz w:val="28"/>
          <w:szCs w:val="28"/>
          <w:lang w:val="uz-Cyrl-UZ"/>
        </w:rPr>
        <w:t xml:space="preserve"> </w:t>
      </w:r>
      <w:r>
        <w:rPr>
          <w:rFonts w:ascii="Times New Roman" w:eastAsia="TimesNewRomanPSMT" w:hAnsi="Times New Roman"/>
          <w:sz w:val="28"/>
          <w:szCs w:val="28"/>
          <w:lang w:val="uz-Cyrl-UZ"/>
        </w:rPr>
        <w:t xml:space="preserve">нинг турли кўрсаткичларидан солиққа тортишнинг корхона инвестицион фаоллигига таъсирини таҳлил қилишда фойдаланиш мумкин. Бу борада солиқ қонунчилигининг инвесторнинг келгусидаги фаолиятига </w:t>
      </w:r>
      <w:r w:rsidRPr="002711C0">
        <w:rPr>
          <w:rFonts w:ascii="Times New Roman" w:eastAsia="TimesNewRomanPSMT" w:hAnsi="Times New Roman"/>
          <w:sz w:val="28"/>
          <w:szCs w:val="28"/>
          <w:lang w:val="uz-Cyrl-UZ"/>
        </w:rPr>
        <w:t>таъсирчанлигини аниқлаш</w:t>
      </w:r>
      <w:r>
        <w:rPr>
          <w:rFonts w:ascii="Times New Roman" w:eastAsia="TimesNewRomanPSMT" w:hAnsi="Times New Roman"/>
          <w:sz w:val="28"/>
          <w:szCs w:val="28"/>
          <w:lang w:val="uz-Cyrl-UZ"/>
        </w:rPr>
        <w:t xml:space="preserve"> учун</w:t>
      </w:r>
      <w:r w:rsidRPr="002711C0">
        <w:rPr>
          <w:rFonts w:ascii="Times New Roman" w:eastAsia="TimesNewRomanPSMT" w:hAnsi="Times New Roman"/>
          <w:sz w:val="28"/>
          <w:szCs w:val="28"/>
          <w:lang w:val="uz-Cyrl-UZ"/>
        </w:rPr>
        <w:t xml:space="preserve"> "forward-looking" кўрсаткичи </w:t>
      </w:r>
      <w:r>
        <w:rPr>
          <w:rFonts w:ascii="Times New Roman" w:eastAsia="TimesNewRomanPSMT" w:hAnsi="Times New Roman"/>
          <w:sz w:val="28"/>
          <w:szCs w:val="28"/>
          <w:lang w:val="uz-Cyrl-UZ"/>
        </w:rPr>
        <w:t xml:space="preserve">ишлатилади ва у </w:t>
      </w:r>
      <w:r w:rsidRPr="002711C0">
        <w:rPr>
          <w:rFonts w:ascii="Times New Roman" w:eastAsia="TimesNewRomanPSMT" w:hAnsi="Times New Roman"/>
          <w:sz w:val="28"/>
          <w:szCs w:val="28"/>
          <w:lang w:val="uz-Cyrl-UZ"/>
        </w:rPr>
        <w:t>корхона инвестицион</w:t>
      </w:r>
      <w:r>
        <w:rPr>
          <w:rFonts w:ascii="Times New Roman" w:eastAsia="TimesNewRomanPSMT" w:hAnsi="Times New Roman"/>
          <w:sz w:val="28"/>
          <w:szCs w:val="28"/>
          <w:lang w:val="uz-Cyrl-UZ"/>
        </w:rPr>
        <w:t xml:space="preserve"> фаолияти учун солиқ тизими томонидан яратиб бериладиган рағбатлантирувчи ёки таъқиқловчи қоидаларни аниқ ифодалаб беради. Солиққа тортиш фақатгина инвестор фаолиятига таъсир қилувчи бир неча омиллардан бири сифатида тавсифланади.  </w:t>
      </w:r>
    </w:p>
    <w:p w:rsidR="006153BD" w:rsidRPr="0025451B"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sidRPr="0025451B">
        <w:rPr>
          <w:rFonts w:ascii="Times New Roman" w:eastAsia="TimesNewRomanPSMT" w:hAnsi="Times New Roman"/>
          <w:sz w:val="28"/>
          <w:szCs w:val="28"/>
          <w:lang w:val="uz-Cyrl-UZ"/>
        </w:rPr>
        <w:t xml:space="preserve">Мазкур масалани </w:t>
      </w:r>
      <w:r>
        <w:rPr>
          <w:rFonts w:ascii="Times New Roman" w:eastAsia="TimesNewRomanPSMT" w:hAnsi="Times New Roman"/>
          <w:sz w:val="28"/>
          <w:szCs w:val="28"/>
          <w:lang w:val="uz-Cyrl-UZ"/>
        </w:rPr>
        <w:t>ўрганишда</w:t>
      </w:r>
      <w:r w:rsidRPr="0025451B">
        <w:rPr>
          <w:rFonts w:ascii="Times New Roman" w:eastAsia="TimesNewRomanPSMT" w:hAnsi="Times New Roman"/>
          <w:sz w:val="28"/>
          <w:szCs w:val="28"/>
          <w:lang w:val="uz-Cyrl-UZ"/>
        </w:rPr>
        <w:t xml:space="preserve"> М.Кинг ва Д.Фуллертон </w:t>
      </w:r>
      <w:r w:rsidRPr="003357C5">
        <w:rPr>
          <w:rFonts w:ascii="Times New Roman" w:eastAsia="TimesNewRomanPSMT" w:hAnsi="Times New Roman"/>
          <w:sz w:val="28"/>
          <w:szCs w:val="28"/>
          <w:lang w:val="uz-Cyrl-UZ"/>
        </w:rPr>
        <w:t>(King, Fullerton, 1984)</w:t>
      </w:r>
      <w:r w:rsidRPr="0025451B">
        <w:rPr>
          <w:rFonts w:ascii="Times New Roman" w:eastAsia="TimesNewRomanPSMT" w:hAnsi="Times New Roman"/>
          <w:sz w:val="28"/>
          <w:szCs w:val="28"/>
          <w:lang w:val="uz-Cyrl-UZ"/>
        </w:rPr>
        <w:t xml:space="preserve"> бошчилигидаги халқаро экспертлар гуруҳининг микроиқтисодий моделидан фойдаланилади. Кинг-Фуллертон моделида инвестициялар учун солиққа тортишнинг асосий таъсири капитал қийматининг ўзгаришида акс этади ва энг юқори эффектив (самарали) солиқ ставкалари (</w:t>
      </w:r>
      <w:r w:rsidRPr="003357C5">
        <w:rPr>
          <w:rFonts w:ascii="Times New Roman" w:eastAsia="TimesNewRomanPS-ItalicMT" w:hAnsi="Times New Roman"/>
          <w:i/>
          <w:iCs/>
          <w:sz w:val="28"/>
          <w:szCs w:val="28"/>
          <w:lang w:val="uz-Cyrl-UZ"/>
        </w:rPr>
        <w:t>marginal effective</w:t>
      </w:r>
      <w:r w:rsidRPr="0025451B">
        <w:rPr>
          <w:rFonts w:ascii="Times New Roman" w:eastAsia="TimesNewRomanPS-ItalicMT" w:hAnsi="Times New Roman"/>
          <w:i/>
          <w:iCs/>
          <w:sz w:val="28"/>
          <w:szCs w:val="28"/>
          <w:lang w:val="uz-Cyrl-UZ"/>
        </w:rPr>
        <w:t xml:space="preserve"> </w:t>
      </w:r>
      <w:r w:rsidRPr="003357C5">
        <w:rPr>
          <w:rFonts w:ascii="Times New Roman" w:eastAsia="TimesNewRomanPS-ItalicMT" w:hAnsi="Times New Roman"/>
          <w:i/>
          <w:iCs/>
          <w:sz w:val="28"/>
          <w:szCs w:val="28"/>
          <w:lang w:val="uz-Cyrl-UZ"/>
        </w:rPr>
        <w:t>tax rate</w:t>
      </w:r>
      <w:r w:rsidRPr="003357C5">
        <w:rPr>
          <w:rFonts w:ascii="Times New Roman" w:eastAsia="TimesNewRomanPSMT" w:hAnsi="Times New Roman"/>
          <w:sz w:val="28"/>
          <w:szCs w:val="28"/>
          <w:lang w:val="uz-Cyrl-UZ"/>
        </w:rPr>
        <w:t xml:space="preserve">, </w:t>
      </w:r>
      <w:r w:rsidRPr="003357C5">
        <w:rPr>
          <w:rFonts w:ascii="Times New Roman" w:eastAsia="TimesNewRomanPS-ItalicMT" w:hAnsi="Times New Roman"/>
          <w:i/>
          <w:iCs/>
          <w:sz w:val="28"/>
          <w:szCs w:val="28"/>
          <w:lang w:val="uz-Cyrl-UZ"/>
        </w:rPr>
        <w:t>METR</w:t>
      </w:r>
      <w:r w:rsidRPr="0025451B">
        <w:rPr>
          <w:rFonts w:ascii="Times New Roman" w:eastAsia="TimesNewRomanPSMT" w:hAnsi="Times New Roman"/>
          <w:sz w:val="28"/>
          <w:szCs w:val="28"/>
          <w:lang w:val="uz-Cyrl-UZ"/>
        </w:rPr>
        <w:t>) асосида аниқланади. Дастлаб, шартли лойиҳалар учун солиқ тўлашдан олдин ва кейин ҳар бир инвестицияга тўғри келадиган фойда нормаси фарқидан келиб чиқадиган солиқ оғирлиги ҳисоблаб чиқилади</w:t>
      </w:r>
      <w:r w:rsidRPr="00B00DBF">
        <w:rPr>
          <w:rFonts w:ascii="Times New Roman" w:eastAsia="TimesNewRomanPSMT" w:hAnsi="Times New Roman"/>
          <w:sz w:val="28"/>
          <w:szCs w:val="28"/>
          <w:lang w:val="uz-Cyrl-UZ"/>
        </w:rPr>
        <w:t xml:space="preserve"> </w:t>
      </w:r>
      <w:r w:rsidRPr="00B00DBF">
        <w:rPr>
          <w:rFonts w:ascii="Times New Roman" w:eastAsia="TimesNewRomanPSMT" w:hAnsi="Times New Roman"/>
          <w:b/>
          <w:i/>
          <w:sz w:val="28"/>
          <w:szCs w:val="28"/>
          <w:lang w:val="uz-Cyrl-UZ"/>
        </w:rPr>
        <w:t>(4)</w:t>
      </w:r>
      <w:r w:rsidRPr="0025451B">
        <w:rPr>
          <w:rFonts w:ascii="Times New Roman" w:eastAsia="TimesNewRomanPSMT" w:hAnsi="Times New Roman"/>
          <w:sz w:val="28"/>
          <w:szCs w:val="28"/>
          <w:lang w:val="uz-Cyrl-UZ"/>
        </w:rPr>
        <w:t xml:space="preserve">. </w:t>
      </w:r>
    </w:p>
    <w:p w:rsidR="006153BD"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sidRPr="0025451B">
        <w:rPr>
          <w:rFonts w:ascii="Times New Roman" w:eastAsia="TimesNewRomanPSMT" w:hAnsi="Times New Roman"/>
          <w:sz w:val="28"/>
          <w:szCs w:val="28"/>
          <w:lang w:val="uz-Cyrl-UZ"/>
        </w:rPr>
        <w:t xml:space="preserve">Кинг-Фуллертон моделидан фойдаланиб, моддий қийматликларга инвестициялар учун солиқ юки даражаси Иқтисодий Ҳамкорлик ва Ривожланиш Ташкилоти (ИҲРТ)нинг кўпгина мамлакатлари учун ҳисоблаб чиқилган. </w:t>
      </w:r>
      <w:r>
        <w:rPr>
          <w:rFonts w:ascii="Times New Roman" w:eastAsia="TimesNewRomanPSMT" w:hAnsi="Times New Roman"/>
          <w:sz w:val="28"/>
          <w:szCs w:val="28"/>
          <w:lang w:val="uz-Cyrl-UZ"/>
        </w:rPr>
        <w:t>Ҳисоб</w:t>
      </w:r>
      <w:r w:rsidRPr="00FB4DE1">
        <w:rPr>
          <w:rFonts w:ascii="Times New Roman" w:eastAsia="TimesNewRomanPSMT" w:hAnsi="Times New Roman"/>
          <w:sz w:val="28"/>
          <w:szCs w:val="28"/>
          <w:lang w:val="uz-Cyrl-UZ"/>
        </w:rPr>
        <w:t>-</w:t>
      </w:r>
      <w:r>
        <w:rPr>
          <w:rFonts w:ascii="Times New Roman" w:eastAsia="TimesNewRomanPSMT" w:hAnsi="Times New Roman"/>
          <w:sz w:val="28"/>
          <w:szCs w:val="28"/>
          <w:lang w:val="uz-Cyrl-UZ"/>
        </w:rPr>
        <w:t>китоблар натижаси солиқ қонунчилигининг инвестицион қарорларга таъсири ҳақида иқтисодий сиёсатни ишлаб чиқишда маълумот сифатида фойдаланилади</w:t>
      </w:r>
      <w:r w:rsidRPr="00B00DBF">
        <w:rPr>
          <w:rFonts w:ascii="Times New Roman" w:eastAsia="TimesNewRomanPSMT" w:hAnsi="Times New Roman"/>
          <w:sz w:val="28"/>
          <w:szCs w:val="28"/>
          <w:lang w:val="uz-Cyrl-UZ"/>
        </w:rPr>
        <w:t xml:space="preserve"> </w:t>
      </w:r>
      <w:r w:rsidRPr="00B00DBF">
        <w:rPr>
          <w:rFonts w:ascii="Times New Roman" w:eastAsia="TimesNewRomanPSMT" w:hAnsi="Times New Roman"/>
          <w:b/>
          <w:i/>
          <w:sz w:val="28"/>
          <w:szCs w:val="28"/>
          <w:lang w:val="uz-Cyrl-UZ"/>
        </w:rPr>
        <w:t>(5, 6)</w:t>
      </w:r>
      <w:r>
        <w:rPr>
          <w:rFonts w:ascii="Times New Roman" w:eastAsia="TimesNewRomanPSMT" w:hAnsi="Times New Roman"/>
          <w:sz w:val="28"/>
          <w:szCs w:val="28"/>
          <w:lang w:val="uz-Cyrl-UZ"/>
        </w:rPr>
        <w:t xml:space="preserve">. </w:t>
      </w:r>
    </w:p>
    <w:p w:rsidR="006153BD" w:rsidRPr="00C75DFF"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Ушбу моделнинг асосий ғояси қуйидагича: фараз қилайлик, иқтисодиётда солиқларнинг мавжуд эмаслиги шароитида инвестор ўз қуйилмалари учун тўлиқ фойда нормасини олади. Солиққа тортиш мавжуд бўлганда эса олинадаган фойда миқдори  солиқ суммасига камаяди. Ушбу солиқ юкининг миқдори корхоналар солиққа тортиш тизимига, ҳисобланган солиқ суммасига нисбатан инфляция даражаси таъсирига, асосий воситалар ва бошқа активларга ҳисобланадиган амортизациянинг хусусиятларига, турли даромадлар (капиталнинг ўсиши, фоизлар ёки дивидендлар)ни солиққа тортишга ва бошқа бир қатор омилларга боғлиқ бўлади. Шу ўринда</w:t>
      </w:r>
      <w:r w:rsidRPr="0025451B">
        <w:rPr>
          <w:rFonts w:ascii="Times New Roman" w:eastAsia="TimesNewRomanPSMT" w:hAnsi="Times New Roman"/>
          <w:sz w:val="28"/>
          <w:szCs w:val="28"/>
          <w:lang w:val="uz-Cyrl-UZ"/>
        </w:rPr>
        <w:t xml:space="preserve"> солиқ юкини кенг маънода таърифлайдиган бўлсак, у ўз ичига солиқ қонунчилиги асосида ҳисобланган солиқ ва бошқа мажбурий тўловларни ҳамда ушбу солиқларни тўлаш билан боғлиқ қўшимча оғирликни ҳам олишини таъкидлаш лозим</w:t>
      </w:r>
      <w:r w:rsidRPr="00F53BFB">
        <w:rPr>
          <w:rFonts w:ascii="Times New Roman" w:eastAsia="TimesNewRomanPSMT" w:hAnsi="Times New Roman"/>
          <w:sz w:val="28"/>
          <w:szCs w:val="28"/>
          <w:lang w:val="uz-Cyrl-UZ"/>
        </w:rPr>
        <w:t xml:space="preserve"> </w:t>
      </w:r>
      <w:r w:rsidRPr="00F53BFB">
        <w:rPr>
          <w:rFonts w:ascii="Times New Roman" w:eastAsia="TimesNewRomanPSMT" w:hAnsi="Times New Roman"/>
          <w:b/>
          <w:i/>
          <w:sz w:val="28"/>
          <w:szCs w:val="28"/>
          <w:lang w:val="uz-Cyrl-UZ"/>
        </w:rPr>
        <w:t>(7)</w:t>
      </w:r>
      <w:r w:rsidRPr="0025451B">
        <w:rPr>
          <w:rFonts w:ascii="Times New Roman" w:eastAsia="TimesNewRomanPSMT" w:hAnsi="Times New Roman"/>
          <w:sz w:val="28"/>
          <w:szCs w:val="28"/>
          <w:lang w:val="uz-Cyrl-UZ"/>
        </w:rPr>
        <w:t>.</w:t>
      </w:r>
    </w:p>
    <w:p w:rsidR="006153BD"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 xml:space="preserve">Келтирилган ифодалардан маълумки, инвестициялар учун солиқ юки бир неча хусусий омиллар (моддий қийматлилик тури, иқтисодиёт тармоқлари, молиялаштириш манбаси ва инвестиция қилувчилар категорияси) дан келиб чиққан ҳолда белгиланади. Шунинг учун ҳисобланган </w:t>
      </w:r>
      <w:r w:rsidRPr="00F51C87">
        <w:rPr>
          <w:rFonts w:ascii="Times New Roman" w:eastAsia="Times New Roman" w:hAnsi="Times New Roman"/>
          <w:position w:val="-4"/>
          <w:sz w:val="28"/>
          <w:szCs w:val="28"/>
          <w:lang w:val="uz-Cyrl-UZ"/>
        </w:rPr>
        <w:object w:dxaOrig="7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2.75pt" o:ole="">
            <v:imagedata r:id="rId7" o:title=""/>
          </v:shape>
          <o:OLEObject Type="Embed" ProgID="Equation.DSMT4" ShapeID="_x0000_i1025" DrawAspect="Content" ObjectID="_1485607001" r:id="rId8"/>
        </w:object>
      </w:r>
      <w:r>
        <w:rPr>
          <w:rFonts w:ascii="Times New Roman" w:eastAsia="TimesNewRomanPSMT" w:hAnsi="Times New Roman"/>
          <w:sz w:val="28"/>
          <w:szCs w:val="28"/>
          <w:lang w:val="uz-Cyrl-UZ"/>
        </w:rPr>
        <w:t>эффектив (самарали) солиқ юки корхоналар фойда ва даромад солиғи ставкасидан фарқ қилади, шунингдек бир турдаги инвестициядан бошқа турига нисбатан фарқли бўлади.</w:t>
      </w:r>
    </w:p>
    <w:p w:rsidR="006153BD" w:rsidRPr="00562202" w:rsidRDefault="006153BD" w:rsidP="001F153F">
      <w:pPr>
        <w:autoSpaceDE w:val="0"/>
        <w:autoSpaceDN w:val="0"/>
        <w:adjustRightInd w:val="0"/>
        <w:spacing w:after="0" w:line="360" w:lineRule="auto"/>
        <w:ind w:firstLine="567"/>
        <w:jc w:val="both"/>
        <w:rPr>
          <w:rFonts w:ascii="Times New Roman" w:eastAsia="TimesNewRomanPSMT" w:hAnsi="Times New Roman"/>
          <w:sz w:val="28"/>
          <w:szCs w:val="28"/>
          <w:lang w:val="uz-Cyrl-UZ"/>
        </w:rPr>
      </w:pPr>
      <w:r>
        <w:rPr>
          <w:rFonts w:ascii="Times New Roman" w:eastAsia="TimesNewRomanPSMT" w:hAnsi="Times New Roman"/>
          <w:sz w:val="28"/>
          <w:szCs w:val="28"/>
          <w:lang w:val="uz-Cyrl-UZ"/>
        </w:rPr>
        <w:t>Шунинг учун</w:t>
      </w:r>
      <w:r w:rsidRPr="0025451B">
        <w:rPr>
          <w:rFonts w:ascii="Times New Roman" w:eastAsia="TimesNewRomanPSMT" w:hAnsi="Times New Roman"/>
          <w:sz w:val="28"/>
          <w:szCs w:val="28"/>
          <w:lang w:val="uz-Cyrl-UZ"/>
        </w:rPr>
        <w:t xml:space="preserve"> мазкур моделдан фойдаланган ҳолда ва мамлакатимиз солиқ қонунчилиги талабларидан келиб чиқиб, моддий қийматликларнинг айрим турлари – машина ва қурилмалар, бино ва иншоотлар, компьютерлар (юқори технологияли активлар), иқтисодиётнинг анъанавий соҳалари – машинасозлик, қурилиш ва савдо, молиялаштиришнинг уч тури – заём маблағларини жалб қилиш, қимматли қоғозларнинг жойлаштирилиши ва тақсимланмаган фойда кўрсаткичлари учун солиқ юкини ҳисоблаб чиқиш</w:t>
      </w:r>
      <w:r>
        <w:rPr>
          <w:rFonts w:ascii="Times New Roman" w:eastAsia="TimesNewRomanPSMT" w:hAnsi="Times New Roman"/>
          <w:sz w:val="28"/>
          <w:szCs w:val="28"/>
          <w:lang w:val="uz-Cyrl-UZ"/>
        </w:rPr>
        <w:t xml:space="preserve"> мумкин</w:t>
      </w:r>
      <w:r w:rsidRPr="0025451B">
        <w:rPr>
          <w:rFonts w:ascii="Times New Roman" w:eastAsia="TimesNewRomanPSMT" w:hAnsi="Times New Roman"/>
          <w:sz w:val="28"/>
          <w:szCs w:val="28"/>
          <w:lang w:val="uz-Cyrl-UZ"/>
        </w:rPr>
        <w:t xml:space="preserve">.    </w:t>
      </w:r>
    </w:p>
    <w:p w:rsidR="006153BD" w:rsidRPr="00725B0B" w:rsidRDefault="006153BD" w:rsidP="00725B0B">
      <w:pPr>
        <w:spacing w:line="360" w:lineRule="auto"/>
        <w:rPr>
          <w:rFonts w:ascii="Times New Roman" w:eastAsia="TimesNewRomanPSMT" w:hAnsi="Times New Roman"/>
          <w:b/>
          <w:sz w:val="28"/>
          <w:szCs w:val="28"/>
          <w:lang w:val="uz-Cyrl-UZ"/>
        </w:rPr>
      </w:pPr>
    </w:p>
    <w:p w:rsidR="006153BD" w:rsidRPr="00725B0B" w:rsidRDefault="006153BD" w:rsidP="00725B0B">
      <w:pPr>
        <w:spacing w:line="360" w:lineRule="auto"/>
        <w:rPr>
          <w:rFonts w:ascii="Times New Roman" w:eastAsia="TimesNewRomanPSMT" w:hAnsi="Times New Roman"/>
          <w:b/>
          <w:sz w:val="28"/>
          <w:szCs w:val="28"/>
          <w:lang w:val="uz-Cyrl-UZ"/>
        </w:rPr>
      </w:pPr>
      <w:r w:rsidRPr="00725B0B">
        <w:rPr>
          <w:rFonts w:ascii="Times New Roman" w:eastAsia="TimesNewRomanPSMT" w:hAnsi="Times New Roman"/>
          <w:b/>
          <w:sz w:val="28"/>
          <w:szCs w:val="28"/>
          <w:lang w:val="uz-Cyrl-UZ"/>
        </w:rPr>
        <w:t>Фойдаланилган адабиётлар рўйхати:</w:t>
      </w:r>
    </w:p>
    <w:p w:rsidR="006153BD" w:rsidRPr="001F153F" w:rsidRDefault="006153BD" w:rsidP="001F153F">
      <w:pPr>
        <w:pStyle w:val="ListParagraph"/>
        <w:numPr>
          <w:ilvl w:val="0"/>
          <w:numId w:val="2"/>
        </w:numPr>
        <w:autoSpaceDE w:val="0"/>
        <w:autoSpaceDN w:val="0"/>
        <w:adjustRightInd w:val="0"/>
        <w:spacing w:after="0" w:line="360" w:lineRule="auto"/>
        <w:jc w:val="both"/>
        <w:rPr>
          <w:rFonts w:ascii="Times New Roman" w:eastAsia="TimesNewRomanPSMT" w:hAnsi="Times New Roman"/>
          <w:sz w:val="28"/>
          <w:szCs w:val="28"/>
          <w:lang w:val="uz-Cyrl-UZ"/>
        </w:rPr>
      </w:pPr>
      <w:r w:rsidRPr="001F153F">
        <w:rPr>
          <w:rFonts w:ascii="Times New Roman" w:eastAsia="TimesNewRomanPSMT" w:hAnsi="Times New Roman"/>
          <w:sz w:val="28"/>
          <w:szCs w:val="28"/>
          <w:lang w:val="uz-Cyrl-UZ"/>
        </w:rPr>
        <w:t>Giannini, S. and C. Maggiulli (2002) The effective tax rates in the EU Commission study on corporate taxation: methodological aspects, main results and policy implications, CESifo Working Paper No. 666 (1).</w:t>
      </w:r>
    </w:p>
    <w:p w:rsidR="006153BD" w:rsidRPr="001F153F" w:rsidRDefault="006153BD" w:rsidP="001F153F">
      <w:pPr>
        <w:pStyle w:val="ListParagraph"/>
        <w:numPr>
          <w:ilvl w:val="0"/>
          <w:numId w:val="2"/>
        </w:numPr>
        <w:autoSpaceDE w:val="0"/>
        <w:autoSpaceDN w:val="0"/>
        <w:adjustRightInd w:val="0"/>
        <w:spacing w:after="0" w:line="360" w:lineRule="auto"/>
        <w:jc w:val="both"/>
        <w:rPr>
          <w:rFonts w:ascii="Times New Roman" w:eastAsia="TimesNewRomanPSMT" w:hAnsi="Times New Roman"/>
          <w:sz w:val="28"/>
          <w:szCs w:val="28"/>
          <w:lang w:val="uz-Cyrl-UZ"/>
        </w:rPr>
      </w:pPr>
      <w:r w:rsidRPr="001F153F">
        <w:rPr>
          <w:rFonts w:ascii="Times New Roman" w:eastAsia="TimesNewRomanPSMT" w:hAnsi="Times New Roman"/>
          <w:sz w:val="28"/>
          <w:szCs w:val="28"/>
          <w:lang w:val="uz-Cyrl-UZ"/>
        </w:rPr>
        <w:t>King, M. and D. Fullerton, eds. (1984) The Taxation of Income from Capital: A Comparative Study of the United States, United Kingdom, Sweden, and West Germany (Chicago: University of Chicago Press).</w:t>
      </w:r>
    </w:p>
    <w:p w:rsidR="006153BD" w:rsidRPr="001F153F" w:rsidRDefault="006153BD" w:rsidP="001F153F">
      <w:pPr>
        <w:pStyle w:val="ListParagraph"/>
        <w:numPr>
          <w:ilvl w:val="0"/>
          <w:numId w:val="2"/>
        </w:numPr>
        <w:autoSpaceDE w:val="0"/>
        <w:autoSpaceDN w:val="0"/>
        <w:adjustRightInd w:val="0"/>
        <w:spacing w:after="0" w:line="360" w:lineRule="auto"/>
        <w:jc w:val="both"/>
        <w:rPr>
          <w:rFonts w:ascii="Times New Roman" w:eastAsia="TimesNewRomanPSMT" w:hAnsi="Times New Roman"/>
          <w:sz w:val="28"/>
          <w:szCs w:val="28"/>
          <w:lang w:val="uz-Cyrl-UZ"/>
        </w:rPr>
      </w:pPr>
      <w:r w:rsidRPr="001F153F">
        <w:rPr>
          <w:rFonts w:ascii="Times New Roman" w:eastAsia="TimesNewRomanPSMT" w:hAnsi="Times New Roman"/>
          <w:sz w:val="28"/>
          <w:szCs w:val="28"/>
          <w:lang w:val="uz-Cyrl-UZ"/>
        </w:rPr>
        <w:t>OECD (1991) Taxing Profits in a Global Economy (Paris: OECD).</w:t>
      </w:r>
    </w:p>
    <w:p w:rsidR="006153BD" w:rsidRPr="001F153F" w:rsidRDefault="006153BD" w:rsidP="001F153F">
      <w:pPr>
        <w:pStyle w:val="ListParagraph"/>
        <w:numPr>
          <w:ilvl w:val="0"/>
          <w:numId w:val="2"/>
        </w:numPr>
        <w:autoSpaceDE w:val="0"/>
        <w:autoSpaceDN w:val="0"/>
        <w:adjustRightInd w:val="0"/>
        <w:spacing w:after="0" w:line="360" w:lineRule="auto"/>
        <w:jc w:val="both"/>
        <w:rPr>
          <w:rFonts w:ascii="Times New Roman" w:eastAsia="TimesNewRomanPSMT" w:hAnsi="Times New Roman"/>
          <w:sz w:val="28"/>
          <w:szCs w:val="28"/>
          <w:lang w:val="uz-Cyrl-UZ"/>
        </w:rPr>
      </w:pPr>
      <w:r w:rsidRPr="001F153F">
        <w:rPr>
          <w:rFonts w:ascii="Times New Roman" w:eastAsia="TimesNewRomanPSMT" w:hAnsi="Times New Roman"/>
          <w:sz w:val="28"/>
          <w:szCs w:val="28"/>
          <w:lang w:val="uz-Cyrl-UZ"/>
        </w:rPr>
        <w:t>OECD (1996) Fiscal Measures to Promote R&amp;D and Innovation (Paris: OECD).</w:t>
      </w:r>
    </w:p>
    <w:p w:rsidR="006153BD" w:rsidRPr="001F153F" w:rsidRDefault="006153BD" w:rsidP="001F153F">
      <w:pPr>
        <w:pStyle w:val="ListParagraph"/>
        <w:numPr>
          <w:ilvl w:val="0"/>
          <w:numId w:val="2"/>
        </w:numPr>
        <w:autoSpaceDE w:val="0"/>
        <w:autoSpaceDN w:val="0"/>
        <w:adjustRightInd w:val="0"/>
        <w:spacing w:after="0" w:line="360" w:lineRule="auto"/>
        <w:jc w:val="both"/>
        <w:rPr>
          <w:rFonts w:ascii="Times New Roman" w:eastAsia="TimesNewRomanPSMT" w:hAnsi="Times New Roman"/>
          <w:sz w:val="28"/>
          <w:szCs w:val="28"/>
          <w:lang w:val="uz-Cyrl-UZ"/>
        </w:rPr>
      </w:pPr>
      <w:r w:rsidRPr="001F153F">
        <w:rPr>
          <w:rFonts w:ascii="Times New Roman" w:eastAsia="TimesNewRomanPSMT" w:hAnsi="Times New Roman"/>
          <w:sz w:val="28"/>
          <w:szCs w:val="28"/>
          <w:lang w:val="uz-Cyrl-UZ"/>
        </w:rPr>
        <w:t>Karzanova, I. (2002) Estimation of Effect of Taxation on Real Sector Investment in Russia: Calculation of Marginal Effective Tax Rates, HSE Economic Journal 6 (2) (Moscow: The Higher School of Economics Press).</w:t>
      </w:r>
    </w:p>
    <w:p w:rsidR="006153BD" w:rsidRPr="001F153F" w:rsidRDefault="006153BD" w:rsidP="001F153F">
      <w:pPr>
        <w:pStyle w:val="ListParagraph"/>
        <w:autoSpaceDE w:val="0"/>
        <w:autoSpaceDN w:val="0"/>
        <w:adjustRightInd w:val="0"/>
        <w:spacing w:after="0" w:line="360" w:lineRule="auto"/>
        <w:jc w:val="both"/>
        <w:rPr>
          <w:rFonts w:ascii="Times New Roman" w:eastAsia="TimesNewRomanPSMT" w:hAnsi="Times New Roman"/>
          <w:sz w:val="28"/>
          <w:szCs w:val="28"/>
          <w:lang w:val="uz-Cyrl-UZ"/>
        </w:rPr>
      </w:pPr>
    </w:p>
    <w:sectPr w:rsidR="006153BD" w:rsidRPr="001F153F" w:rsidSect="001F153F">
      <w:footerReference w:type="default" r:id="rId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3BD" w:rsidRDefault="006153BD" w:rsidP="00896E1D">
      <w:pPr>
        <w:spacing w:after="0" w:line="240" w:lineRule="auto"/>
      </w:pPr>
      <w:r>
        <w:separator/>
      </w:r>
    </w:p>
  </w:endnote>
  <w:endnote w:type="continuationSeparator" w:id="1">
    <w:p w:rsidR="006153BD" w:rsidRDefault="006153BD" w:rsidP="00896E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3BD" w:rsidRDefault="006153BD">
    <w:pPr>
      <w:pStyle w:val="Footer"/>
      <w:jc w:val="center"/>
    </w:pPr>
    <w:fldSimple w:instr=" PAGE   \* MERGEFORMAT ">
      <w:r>
        <w:rPr>
          <w:noProof/>
        </w:rPr>
        <w:t>4</w:t>
      </w:r>
    </w:fldSimple>
  </w:p>
  <w:p w:rsidR="006153BD" w:rsidRDefault="006153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3BD" w:rsidRDefault="006153BD" w:rsidP="00896E1D">
      <w:pPr>
        <w:spacing w:after="0" w:line="240" w:lineRule="auto"/>
      </w:pPr>
      <w:r>
        <w:separator/>
      </w:r>
    </w:p>
  </w:footnote>
  <w:footnote w:type="continuationSeparator" w:id="1">
    <w:p w:rsidR="006153BD" w:rsidRDefault="006153BD" w:rsidP="00896E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4703B"/>
    <w:multiLevelType w:val="hybridMultilevel"/>
    <w:tmpl w:val="E4D212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150AF6"/>
    <w:multiLevelType w:val="hybridMultilevel"/>
    <w:tmpl w:val="692E72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5F5"/>
    <w:rsid w:val="00007B99"/>
    <w:rsid w:val="000179F5"/>
    <w:rsid w:val="000237AA"/>
    <w:rsid w:val="000245CE"/>
    <w:rsid w:val="000312D4"/>
    <w:rsid w:val="0003366B"/>
    <w:rsid w:val="00041908"/>
    <w:rsid w:val="00060943"/>
    <w:rsid w:val="000901D6"/>
    <w:rsid w:val="000A331A"/>
    <w:rsid w:val="000B46AE"/>
    <w:rsid w:val="000B5D4A"/>
    <w:rsid w:val="000C73E1"/>
    <w:rsid w:val="00115B2F"/>
    <w:rsid w:val="001268E2"/>
    <w:rsid w:val="00132306"/>
    <w:rsid w:val="0013388B"/>
    <w:rsid w:val="00144E58"/>
    <w:rsid w:val="00184D69"/>
    <w:rsid w:val="001954E1"/>
    <w:rsid w:val="001A5405"/>
    <w:rsid w:val="001A577B"/>
    <w:rsid w:val="001B4B79"/>
    <w:rsid w:val="001B584B"/>
    <w:rsid w:val="001D47FB"/>
    <w:rsid w:val="001F153F"/>
    <w:rsid w:val="00213C60"/>
    <w:rsid w:val="0025451B"/>
    <w:rsid w:val="002649EF"/>
    <w:rsid w:val="002711C0"/>
    <w:rsid w:val="0027163B"/>
    <w:rsid w:val="002741C9"/>
    <w:rsid w:val="002911E4"/>
    <w:rsid w:val="002A0A85"/>
    <w:rsid w:val="002A7596"/>
    <w:rsid w:val="002C73B5"/>
    <w:rsid w:val="002C75F3"/>
    <w:rsid w:val="002F46B8"/>
    <w:rsid w:val="003357C5"/>
    <w:rsid w:val="00353B02"/>
    <w:rsid w:val="003664BE"/>
    <w:rsid w:val="003B04F2"/>
    <w:rsid w:val="003B7564"/>
    <w:rsid w:val="003E2BE4"/>
    <w:rsid w:val="003E5D61"/>
    <w:rsid w:val="003E6A8E"/>
    <w:rsid w:val="003F1312"/>
    <w:rsid w:val="003F46E1"/>
    <w:rsid w:val="00423ED5"/>
    <w:rsid w:val="00442B1E"/>
    <w:rsid w:val="004448BD"/>
    <w:rsid w:val="00475A72"/>
    <w:rsid w:val="00486BBC"/>
    <w:rsid w:val="004C2285"/>
    <w:rsid w:val="00505E1A"/>
    <w:rsid w:val="00517745"/>
    <w:rsid w:val="00526104"/>
    <w:rsid w:val="005476A9"/>
    <w:rsid w:val="00562202"/>
    <w:rsid w:val="00573401"/>
    <w:rsid w:val="00575A70"/>
    <w:rsid w:val="0059662A"/>
    <w:rsid w:val="005C2198"/>
    <w:rsid w:val="005E2ACF"/>
    <w:rsid w:val="005E50A3"/>
    <w:rsid w:val="005F0EF0"/>
    <w:rsid w:val="005F5704"/>
    <w:rsid w:val="006153BD"/>
    <w:rsid w:val="0061548E"/>
    <w:rsid w:val="00623509"/>
    <w:rsid w:val="00640A5C"/>
    <w:rsid w:val="00640B78"/>
    <w:rsid w:val="00670752"/>
    <w:rsid w:val="00681C42"/>
    <w:rsid w:val="006932F4"/>
    <w:rsid w:val="00693C58"/>
    <w:rsid w:val="006A04F7"/>
    <w:rsid w:val="006A6340"/>
    <w:rsid w:val="006D519B"/>
    <w:rsid w:val="006E3172"/>
    <w:rsid w:val="006F1A88"/>
    <w:rsid w:val="006F23FC"/>
    <w:rsid w:val="00701AEF"/>
    <w:rsid w:val="007149F2"/>
    <w:rsid w:val="007216A0"/>
    <w:rsid w:val="00725B0B"/>
    <w:rsid w:val="0075054F"/>
    <w:rsid w:val="00767D95"/>
    <w:rsid w:val="00796F1E"/>
    <w:rsid w:val="007D31D7"/>
    <w:rsid w:val="007E315E"/>
    <w:rsid w:val="0080762D"/>
    <w:rsid w:val="00840154"/>
    <w:rsid w:val="00844EF7"/>
    <w:rsid w:val="00854CC6"/>
    <w:rsid w:val="00892FCB"/>
    <w:rsid w:val="00895589"/>
    <w:rsid w:val="00896E1D"/>
    <w:rsid w:val="008B0BD9"/>
    <w:rsid w:val="008D4966"/>
    <w:rsid w:val="00901067"/>
    <w:rsid w:val="0090333F"/>
    <w:rsid w:val="00921883"/>
    <w:rsid w:val="00973001"/>
    <w:rsid w:val="009754EC"/>
    <w:rsid w:val="00996139"/>
    <w:rsid w:val="009A1281"/>
    <w:rsid w:val="009A61FC"/>
    <w:rsid w:val="009B1EBE"/>
    <w:rsid w:val="009B442C"/>
    <w:rsid w:val="009D7090"/>
    <w:rsid w:val="009E297E"/>
    <w:rsid w:val="009E4ED1"/>
    <w:rsid w:val="00A157B8"/>
    <w:rsid w:val="00A34433"/>
    <w:rsid w:val="00AC01A3"/>
    <w:rsid w:val="00AC54DD"/>
    <w:rsid w:val="00AD3062"/>
    <w:rsid w:val="00AD69A8"/>
    <w:rsid w:val="00AF7FB3"/>
    <w:rsid w:val="00B00B9C"/>
    <w:rsid w:val="00B00DBF"/>
    <w:rsid w:val="00B21278"/>
    <w:rsid w:val="00B2419D"/>
    <w:rsid w:val="00B25922"/>
    <w:rsid w:val="00B31052"/>
    <w:rsid w:val="00B465B6"/>
    <w:rsid w:val="00B60561"/>
    <w:rsid w:val="00B677CD"/>
    <w:rsid w:val="00B763F0"/>
    <w:rsid w:val="00BB0693"/>
    <w:rsid w:val="00BB75AC"/>
    <w:rsid w:val="00BC53EA"/>
    <w:rsid w:val="00BE2A4D"/>
    <w:rsid w:val="00BE2C62"/>
    <w:rsid w:val="00BF4382"/>
    <w:rsid w:val="00BF4AC7"/>
    <w:rsid w:val="00C0410B"/>
    <w:rsid w:val="00C05DA6"/>
    <w:rsid w:val="00C226B0"/>
    <w:rsid w:val="00C427DA"/>
    <w:rsid w:val="00C4359E"/>
    <w:rsid w:val="00C65A78"/>
    <w:rsid w:val="00C66E9E"/>
    <w:rsid w:val="00C75DFF"/>
    <w:rsid w:val="00CB38E7"/>
    <w:rsid w:val="00CB75F5"/>
    <w:rsid w:val="00CC5AF7"/>
    <w:rsid w:val="00CC70E5"/>
    <w:rsid w:val="00CD035E"/>
    <w:rsid w:val="00D0717E"/>
    <w:rsid w:val="00D1366A"/>
    <w:rsid w:val="00D14EEB"/>
    <w:rsid w:val="00D27106"/>
    <w:rsid w:val="00D304A0"/>
    <w:rsid w:val="00D438C6"/>
    <w:rsid w:val="00D565E1"/>
    <w:rsid w:val="00D65B87"/>
    <w:rsid w:val="00D75923"/>
    <w:rsid w:val="00D80E37"/>
    <w:rsid w:val="00D868FB"/>
    <w:rsid w:val="00D9748A"/>
    <w:rsid w:val="00DB0BCD"/>
    <w:rsid w:val="00DF0029"/>
    <w:rsid w:val="00DF063A"/>
    <w:rsid w:val="00E405B0"/>
    <w:rsid w:val="00E40C4D"/>
    <w:rsid w:val="00E810F2"/>
    <w:rsid w:val="00E83292"/>
    <w:rsid w:val="00E91AE0"/>
    <w:rsid w:val="00EC0FB1"/>
    <w:rsid w:val="00EC3A9D"/>
    <w:rsid w:val="00EE29DD"/>
    <w:rsid w:val="00EE2DE4"/>
    <w:rsid w:val="00EE3C55"/>
    <w:rsid w:val="00F00A49"/>
    <w:rsid w:val="00F075CD"/>
    <w:rsid w:val="00F51C87"/>
    <w:rsid w:val="00F53BFB"/>
    <w:rsid w:val="00F90EFA"/>
    <w:rsid w:val="00FB4DE1"/>
    <w:rsid w:val="00FC6CFC"/>
    <w:rsid w:val="00FE12E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1D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TDisplayEquation">
    <w:name w:val="MTDisplayEquation"/>
    <w:basedOn w:val="Normal"/>
    <w:next w:val="Normal"/>
    <w:link w:val="MTDisplayEquation0"/>
    <w:uiPriority w:val="99"/>
    <w:rsid w:val="00B00B9C"/>
    <w:pPr>
      <w:tabs>
        <w:tab w:val="center" w:pos="4680"/>
        <w:tab w:val="right" w:pos="9360"/>
      </w:tabs>
      <w:autoSpaceDE w:val="0"/>
      <w:autoSpaceDN w:val="0"/>
      <w:adjustRightInd w:val="0"/>
      <w:spacing w:line="360" w:lineRule="auto"/>
      <w:jc w:val="both"/>
    </w:pPr>
    <w:rPr>
      <w:rFonts w:ascii="Times New Roman" w:eastAsia="Times New Roman" w:hAnsi="Times New Roman"/>
      <w:sz w:val="28"/>
      <w:szCs w:val="28"/>
      <w:lang w:val="uz-Cyrl-UZ"/>
    </w:rPr>
  </w:style>
  <w:style w:type="character" w:customStyle="1" w:styleId="MTDisplayEquation0">
    <w:name w:val="MTDisplayEquation Знак"/>
    <w:basedOn w:val="DefaultParagraphFont"/>
    <w:link w:val="MTDisplayEquation"/>
    <w:uiPriority w:val="99"/>
    <w:locked/>
    <w:rsid w:val="00B00B9C"/>
    <w:rPr>
      <w:rFonts w:ascii="Times New Roman" w:hAnsi="Times New Roman" w:cs="Times New Roman"/>
      <w:sz w:val="28"/>
      <w:szCs w:val="28"/>
      <w:lang w:val="uz-Cyrl-UZ"/>
    </w:rPr>
  </w:style>
  <w:style w:type="paragraph" w:styleId="Header">
    <w:name w:val="header"/>
    <w:basedOn w:val="Normal"/>
    <w:link w:val="HeaderChar"/>
    <w:uiPriority w:val="99"/>
    <w:semiHidden/>
    <w:rsid w:val="00896E1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896E1D"/>
    <w:rPr>
      <w:rFonts w:cs="Times New Roman"/>
    </w:rPr>
  </w:style>
  <w:style w:type="paragraph" w:styleId="Footer">
    <w:name w:val="footer"/>
    <w:basedOn w:val="Normal"/>
    <w:link w:val="FooterChar"/>
    <w:uiPriority w:val="99"/>
    <w:rsid w:val="00896E1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96E1D"/>
    <w:rPr>
      <w:rFonts w:cs="Times New Roman"/>
    </w:rPr>
  </w:style>
  <w:style w:type="paragraph" w:styleId="ListParagraph">
    <w:name w:val="List Paragraph"/>
    <w:basedOn w:val="Normal"/>
    <w:uiPriority w:val="99"/>
    <w:qFormat/>
    <w:rsid w:val="002F4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4392</Words>
  <Characters>2505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2015-02-16T12:30:00Z</dcterms:created>
  <dcterms:modified xsi:type="dcterms:W3CDTF">2015-02-16T13:50:00Z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