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55E" w:rsidRPr="00DE5E39" w:rsidRDefault="007F055E" w:rsidP="00435A08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DE5E39">
        <w:rPr>
          <w:rFonts w:ascii="Times New Roman" w:hAnsi="Times New Roman"/>
          <w:b/>
          <w:sz w:val="28"/>
          <w:szCs w:val="28"/>
          <w:lang w:val="uk-UA"/>
        </w:rPr>
        <w:t xml:space="preserve">Т. Курдельчук, М.Барилюк, А.Сипкова </w:t>
      </w:r>
    </w:p>
    <w:p w:rsidR="007F055E" w:rsidRPr="00DE5E39" w:rsidRDefault="007F055E" w:rsidP="00435A08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DE5E39">
        <w:rPr>
          <w:rFonts w:ascii="Times New Roman" w:hAnsi="Times New Roman"/>
          <w:b/>
          <w:sz w:val="28"/>
          <w:szCs w:val="28"/>
          <w:lang w:val="uk-UA"/>
        </w:rPr>
        <w:t>(Ірпінь, Україна)</w:t>
      </w:r>
    </w:p>
    <w:p w:rsidR="007F055E" w:rsidRDefault="007F055E" w:rsidP="00435A08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35A08">
        <w:rPr>
          <w:rFonts w:ascii="Times New Roman" w:hAnsi="Times New Roman"/>
          <w:b/>
          <w:sz w:val="28"/>
          <w:szCs w:val="28"/>
          <w:lang w:val="uk-UA"/>
        </w:rPr>
        <w:t>ЕКОНОМІКА</w:t>
      </w:r>
    </w:p>
    <w:p w:rsidR="007F055E" w:rsidRDefault="007F055E" w:rsidP="00637CD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F055E" w:rsidRPr="00637CD2" w:rsidRDefault="007F055E" w:rsidP="00637CD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ФУНКЦІОНУВАННЯ ФОНДОВОГО РИНКУ УКРАЇНИ ТА ЙОГО РЕАКЦІЯ НА ФІНАНСОВІ КРИЗИ 1998-99 РР., 2008-09 РР.</w:t>
      </w:r>
    </w:p>
    <w:p w:rsidR="007F055E" w:rsidRPr="00637CD2" w:rsidRDefault="007F055E" w:rsidP="00637CD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F055E" w:rsidRPr="00EB061C" w:rsidRDefault="007F055E" w:rsidP="00637CD2">
      <w:pPr>
        <w:pStyle w:val="20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61C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Фондовому ринку, як невід’ємному компоненту сучасного фінансового ринку, притаманна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B061C">
        <w:rPr>
          <w:rFonts w:ascii="Times New Roman" w:hAnsi="Times New Roman" w:cs="Times New Roman"/>
          <w:color w:val="000000"/>
          <w:sz w:val="28"/>
          <w:szCs w:val="28"/>
          <w:lang w:val="uk-UA"/>
        </w:rPr>
        <w:t>циклічність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B061C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розвитку, що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B061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супроводжується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B061C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періодичними кризами та піднесеннями.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Національний </w:t>
      </w:r>
      <w:r w:rsidRPr="00EB061C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фондовий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B061C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ринок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B061C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було створено за досить короткий період часу - упродовж 1995 -1998 рр.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Даний </w:t>
      </w:r>
      <w:r w:rsidRPr="00EB061C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етап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B061C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характеризується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B061C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значними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B061C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кількісними і якісними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B061C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зростаннями фондового ринку України. Каталізатором такого прискорення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B061C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можна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B061C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вважати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B061C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такі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B061C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фактори, як прискорення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B061C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приватизації, зростання сектору державних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B061C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цінних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B061C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паперів з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B061C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надзвичайно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B061C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високою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B061C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дохідністю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Pr="00EB061C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високі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B061C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темпи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B061C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інфляції та фіксований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B061C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валютний курс, що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B061C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сприяв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B061C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надходженню грошей нерезидентів, схильних до ризику. </w:t>
      </w:r>
    </w:p>
    <w:p w:rsidR="007F055E" w:rsidRPr="00953BF9" w:rsidRDefault="007F055E" w:rsidP="00637CD2">
      <w:pPr>
        <w:shd w:val="clear" w:color="auto" w:fill="FFFFFF"/>
        <w:spacing w:after="0" w:line="360" w:lineRule="auto"/>
        <w:ind w:firstLine="709"/>
        <w:jc w:val="both"/>
        <w:rPr>
          <w:rFonts w:cs="Calibri"/>
          <w:color w:val="000000"/>
          <w:sz w:val="28"/>
          <w:szCs w:val="28"/>
          <w:lang w:val="uk-UA"/>
        </w:rPr>
      </w:pPr>
      <w:r w:rsidRPr="00EB061C">
        <w:rPr>
          <w:rFonts w:ascii="Times New Roman" w:hAnsi="Times New Roman"/>
          <w:sz w:val="28"/>
          <w:szCs w:val="28"/>
          <w:lang w:val="uk-UA"/>
        </w:rPr>
        <w:t>Фондовий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061C">
        <w:rPr>
          <w:rFonts w:ascii="Times New Roman" w:hAnsi="Times New Roman"/>
          <w:sz w:val="28"/>
          <w:szCs w:val="28"/>
          <w:lang w:val="uk-UA"/>
        </w:rPr>
        <w:t>ринок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061C">
        <w:rPr>
          <w:rFonts w:ascii="Times New Roman" w:hAnsi="Times New Roman"/>
          <w:sz w:val="28"/>
          <w:szCs w:val="28"/>
          <w:lang w:val="uk-UA"/>
        </w:rPr>
        <w:t>України пережив одне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061C">
        <w:rPr>
          <w:rFonts w:ascii="Times New Roman" w:hAnsi="Times New Roman"/>
          <w:sz w:val="28"/>
          <w:szCs w:val="28"/>
          <w:lang w:val="uk-UA"/>
        </w:rPr>
        <w:t>із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061C">
        <w:rPr>
          <w:rFonts w:ascii="Times New Roman" w:hAnsi="Times New Roman"/>
          <w:sz w:val="28"/>
          <w:szCs w:val="28"/>
          <w:lang w:val="uk-UA"/>
        </w:rPr>
        <w:t>сильніших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061C">
        <w:rPr>
          <w:rFonts w:ascii="Times New Roman" w:hAnsi="Times New Roman"/>
          <w:sz w:val="28"/>
          <w:szCs w:val="28"/>
          <w:lang w:val="uk-UA"/>
        </w:rPr>
        <w:t>падінь за свою історію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061C">
        <w:rPr>
          <w:rFonts w:ascii="Times New Roman" w:hAnsi="Times New Roman"/>
          <w:sz w:val="28"/>
          <w:szCs w:val="28"/>
          <w:lang w:val="uk-UA"/>
        </w:rPr>
        <w:t>під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061C">
        <w:rPr>
          <w:rFonts w:ascii="Times New Roman" w:hAnsi="Times New Roman"/>
          <w:sz w:val="28"/>
          <w:szCs w:val="28"/>
          <w:lang w:val="uk-UA"/>
        </w:rPr>
        <w:t>впливом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061C">
        <w:rPr>
          <w:rFonts w:ascii="Times New Roman" w:hAnsi="Times New Roman"/>
          <w:sz w:val="28"/>
          <w:szCs w:val="28"/>
          <w:lang w:val="uk-UA"/>
        </w:rPr>
        <w:t>кризи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061C">
        <w:rPr>
          <w:rFonts w:ascii="Times New Roman" w:hAnsi="Times New Roman"/>
          <w:sz w:val="28"/>
          <w:szCs w:val="28"/>
          <w:lang w:val="uk-UA"/>
        </w:rPr>
        <w:t>російського фондового ринку</w:t>
      </w:r>
      <w:r w:rsidRPr="00E46532">
        <w:rPr>
          <w:rFonts w:ascii="Times New Roman" w:hAnsi="Times New Roman"/>
          <w:sz w:val="28"/>
          <w:szCs w:val="28"/>
          <w:lang w:val="uk-UA"/>
        </w:rPr>
        <w:t xml:space="preserve"> 1998-1999 рр</w:t>
      </w:r>
      <w:r w:rsidRPr="00EB061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Криза цих років з</w:t>
      </w:r>
      <w:r w:rsidRPr="00EB061C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явилася результатом азіатської кризи. Безпосередній поштовх був  даний кризою в Україні, що вибухнув після 17 серпня 1998 року і захопив усі сім країн, за якими розраховується індес МФК. Падіння виявилося дуже швидким і глибоким, проте вже з осені індекс почав зростати </w:t>
      </w:r>
      <w:r w:rsidRPr="00EB061C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EB061C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46532">
        <w:rPr>
          <w:rFonts w:ascii="Times New Roman" w:hAnsi="Times New Roman"/>
          <w:color w:val="000000"/>
          <w:sz w:val="28"/>
          <w:szCs w:val="28"/>
          <w:lang w:val="uk-UA"/>
        </w:rPr>
        <w:t>У нашій країні головною причиною кризи 1998 року була необґрунтована боргова політика держави, зумовлена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дефіцитом державного бюджету</w:t>
      </w:r>
      <w:r w:rsidRPr="00E46532">
        <w:rPr>
          <w:rFonts w:ascii="Times New Roman" w:hAnsi="Times New Roman"/>
          <w:color w:val="000000"/>
          <w:sz w:val="28"/>
          <w:szCs w:val="28"/>
          <w:lang w:val="uk-UA"/>
        </w:rPr>
        <w:t xml:space="preserve">. Крім того, до 1996 р. переважало його емісійне фінансування, що стало одним із основних чинників гіперінфляції.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З </w:t>
      </w:r>
      <w:r w:rsidRPr="00953BF9">
        <w:rPr>
          <w:rFonts w:ascii="Times New Roman" w:hAnsi="Times New Roman"/>
          <w:color w:val="000000"/>
          <w:sz w:val="28"/>
          <w:szCs w:val="28"/>
        </w:rPr>
        <w:t>другої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половини 1998 року по перший квартал 1999 року на українському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фондову ринку спостерігався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катастрофічний спад. Він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був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пов’язаний з крахом російського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фінансового ринку та поглибленням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проблем вітчизняної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економіки, що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зумовило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заміну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поступового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зростанняна ринку цінних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паперів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України спадом. Значення фондового індексу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Першої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фондової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торговельної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системи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знизилось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від 40 до 16,5 пунктів (не враховуючи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девальваці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їгривні на 60%, місячні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обсяги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 xml:space="preserve">угод з акціями впали з 30-50 млн. грн. у 1997 року до 5 млн. грн. увересні 1998 </w:t>
      </w:r>
      <w:r>
        <w:rPr>
          <w:rFonts w:ascii="Times New Roman" w:hAnsi="Times New Roman"/>
          <w:color w:val="000000"/>
          <w:sz w:val="28"/>
          <w:szCs w:val="28"/>
        </w:rPr>
        <w:t xml:space="preserve">року). Зокрема, ціна акцій ВАТ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Західенерго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» </w:t>
      </w:r>
      <w:r w:rsidRPr="00953BF9">
        <w:rPr>
          <w:rFonts w:ascii="Times New Roman" w:hAnsi="Times New Roman"/>
          <w:color w:val="000000"/>
          <w:sz w:val="28"/>
          <w:szCs w:val="28"/>
        </w:rPr>
        <w:t>знизилась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протягом 10 серпня - 10 вересня 1998 року від 26,25 грн. до 14,50 грн. за акцію. На по</w:t>
      </w:r>
      <w:r>
        <w:rPr>
          <w:rFonts w:ascii="Times New Roman" w:hAnsi="Times New Roman"/>
          <w:color w:val="000000"/>
          <w:sz w:val="28"/>
          <w:szCs w:val="28"/>
        </w:rPr>
        <w:t xml:space="preserve">чаток 1998 року одна акція ВАТ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Західенерго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» </w:t>
      </w:r>
      <w:r w:rsidRPr="00953BF9">
        <w:rPr>
          <w:rFonts w:ascii="Times New Roman" w:hAnsi="Times New Roman"/>
          <w:color w:val="000000"/>
          <w:sz w:val="28"/>
          <w:szCs w:val="28"/>
        </w:rPr>
        <w:t>коштувала 57 грн. </w:t>
      </w:r>
      <w:r w:rsidRPr="00953BF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953BF9">
        <w:rPr>
          <w:rFonts w:ascii="Times New Roman" w:hAnsi="Times New Roman"/>
          <w:color w:val="000000"/>
          <w:sz w:val="28"/>
          <w:szCs w:val="28"/>
        </w:rPr>
        <w:t>Загалом </w:t>
      </w:r>
      <w:r w:rsidRPr="00953BF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953BF9">
        <w:rPr>
          <w:rFonts w:ascii="Times New Roman" w:hAnsi="Times New Roman"/>
          <w:color w:val="000000"/>
          <w:sz w:val="28"/>
          <w:szCs w:val="28"/>
        </w:rPr>
        <w:t>за 1998 рік капіталізація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дев’яти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компаній, що входили до першого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рівнялі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стингу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Першої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фондової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торговельної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системи, знизилася з 3,419 млрд. грн. до 790 млн. грн., або на 76%. Фінансова криза призвела і до зниження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ліквідності ринку – курс купівлі став у кілька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разів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меншим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від курсу продажу, а обсяг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замовлень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накупівлю в Першій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фондовій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торговельній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системі </w:t>
      </w:r>
      <w:r w:rsidRPr="00953BF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953BF9">
        <w:rPr>
          <w:rFonts w:ascii="Times New Roman" w:hAnsi="Times New Roman"/>
          <w:color w:val="000000"/>
          <w:sz w:val="28"/>
          <w:szCs w:val="28"/>
        </w:rPr>
        <w:t>у 40 разів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поступався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обсягу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3BF9">
        <w:rPr>
          <w:rFonts w:ascii="Times New Roman" w:hAnsi="Times New Roman"/>
          <w:color w:val="000000"/>
          <w:sz w:val="28"/>
          <w:szCs w:val="28"/>
        </w:rPr>
        <w:t>пропозиції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92340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292340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7F055E" w:rsidRDefault="007F055E" w:rsidP="00637CD2">
      <w:pPr>
        <w:pStyle w:val="20"/>
        <w:shd w:val="clear" w:color="auto" w:fill="auto"/>
        <w:spacing w:after="0" w:line="360" w:lineRule="auto"/>
        <w:ind w:firstLine="709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B22C5E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 період фінансової кризи 1997-1998 рр. відбувся масовий вихід іноземного капіталу з фінансового ринку, і лише з 2000 року він знову почав нарощувати обсяги</w:t>
      </w:r>
      <w:r w:rsidRPr="00292340">
        <w:rPr>
          <w:rFonts w:ascii="Times New Roman" w:hAnsi="Times New Roman" w:cs="Times New Roman"/>
          <w:sz w:val="28"/>
          <w:szCs w:val="28"/>
          <w:lang w:val="uk-UA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92340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B22C5E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7F055E" w:rsidRDefault="007F055E" w:rsidP="00292340">
      <w:pPr>
        <w:pStyle w:val="20"/>
        <w:shd w:val="clear" w:color="auto" w:fill="auto"/>
        <w:spacing w:after="0" w:line="360" w:lineRule="auto"/>
        <w:ind w:firstLine="709"/>
        <w:jc w:val="both"/>
        <w:rPr>
          <w:rStyle w:val="a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 2000 року фондовий ринок України розвивася та нарощував обсяги торгів з кожним роком,  спостерігається стадія піднесення.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Кількісну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динаміку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розвитку фондового ринку за період 2000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- 2007 рр. наведено в табл.</w:t>
      </w:r>
      <w:r w:rsidRPr="00D87388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292340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92340">
        <w:rPr>
          <w:rFonts w:ascii="Times New Roman" w:hAnsi="Times New Roman" w:cs="Times New Roman"/>
          <w:sz w:val="28"/>
          <w:szCs w:val="28"/>
        </w:rPr>
        <w:t>]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7F055E" w:rsidRPr="00EB061C" w:rsidRDefault="007F055E" w:rsidP="00637CD2">
      <w:pPr>
        <w:pStyle w:val="a0"/>
        <w:shd w:val="clear" w:color="auto" w:fill="auto"/>
        <w:spacing w:line="360" w:lineRule="auto"/>
        <w:ind w:firstLine="709"/>
        <w:jc w:val="right"/>
        <w:rPr>
          <w:rStyle w:val="a"/>
          <w:rFonts w:ascii="Times New Roman" w:hAnsi="Times New Roman" w:cs="Times New Roman"/>
          <w:iCs/>
          <w:color w:val="000000"/>
          <w:sz w:val="28"/>
          <w:szCs w:val="28"/>
          <w:lang w:eastAsia="uk-UA"/>
        </w:rPr>
      </w:pPr>
      <w:r w:rsidRPr="00926AFE">
        <w:rPr>
          <w:rStyle w:val="a"/>
          <w:rFonts w:ascii="Times New Roman" w:hAnsi="Times New Roman" w:cs="Times New Roman"/>
          <w:color w:val="000000"/>
          <w:sz w:val="28"/>
          <w:szCs w:val="28"/>
          <w:lang w:eastAsia="uk-UA"/>
        </w:rPr>
        <w:t>Таблиця</w:t>
      </w:r>
      <w:r w:rsidRPr="00EB061C">
        <w:rPr>
          <w:rStyle w:val="a"/>
          <w:rFonts w:ascii="Times New Roman" w:hAnsi="Times New Roman" w:cs="Times New Roman"/>
          <w:color w:val="000000"/>
          <w:sz w:val="28"/>
          <w:szCs w:val="28"/>
          <w:lang w:eastAsia="uk-UA"/>
        </w:rPr>
        <w:t>1</w:t>
      </w:r>
    </w:p>
    <w:p w:rsidR="007F055E" w:rsidRPr="00926AFE" w:rsidRDefault="007F055E" w:rsidP="00637CD2">
      <w:pPr>
        <w:pStyle w:val="a0"/>
        <w:shd w:val="clear" w:color="auto" w:fill="auto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F06CD">
        <w:rPr>
          <w:rStyle w:val="a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Динамікарозвиткуфондового ринку України за 2000-2007 рр.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2865"/>
        <w:gridCol w:w="687"/>
        <w:gridCol w:w="681"/>
        <w:gridCol w:w="890"/>
        <w:gridCol w:w="888"/>
        <w:gridCol w:w="890"/>
        <w:gridCol w:w="888"/>
        <w:gridCol w:w="890"/>
        <w:gridCol w:w="969"/>
      </w:tblGrid>
      <w:tr w:rsidR="007F055E" w:rsidRPr="00C75D1B" w:rsidTr="00C2077B">
        <w:trPr>
          <w:trHeight w:hRule="exact" w:val="494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Показник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2001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2002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2003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2004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2005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2006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2007</w:t>
            </w:r>
          </w:p>
        </w:tc>
      </w:tr>
      <w:tr w:rsidR="007F055E" w:rsidRPr="00C75D1B" w:rsidTr="00C2077B">
        <w:trPr>
          <w:trHeight w:hRule="exact" w:val="826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Обсяг</w:t>
            </w:r>
            <w:r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зареєстрованих</w:t>
            </w:r>
            <w:r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цінних</w:t>
            </w:r>
            <w:r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паперів, млрдгрн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24,80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64,35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86,64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110,26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145,02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207,01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291,08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424,33</w:t>
            </w:r>
          </w:p>
        </w:tc>
      </w:tr>
      <w:tr w:rsidR="007F055E" w:rsidRPr="00C75D1B" w:rsidTr="00C2077B">
        <w:trPr>
          <w:trHeight w:hRule="exact" w:val="711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Обсяг</w:t>
            </w:r>
            <w:r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зареєстрованих</w:t>
            </w:r>
            <w:r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випусків</w:t>
            </w:r>
            <w:r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акцій, млрдгрн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31,68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47,29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69,69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86,79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127,59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152,40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195,94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245,94</w:t>
            </w:r>
          </w:p>
        </w:tc>
      </w:tr>
      <w:tr w:rsidR="007F055E" w:rsidRPr="00C75D1B" w:rsidTr="00C2077B">
        <w:trPr>
          <w:trHeight w:hRule="exact" w:val="991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Обсяг</w:t>
            </w:r>
            <w:r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зареєстрованих</w:t>
            </w:r>
            <w:r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випусків</w:t>
            </w:r>
            <w:r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облігацій</w:t>
            </w:r>
            <w:r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підприємств, млрд грн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0,07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0,69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4,27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4,24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4,11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12,75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22,07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44,48</w:t>
            </w:r>
          </w:p>
        </w:tc>
      </w:tr>
      <w:tr w:rsidR="007F055E" w:rsidRPr="00C75D1B" w:rsidTr="00C2077B">
        <w:trPr>
          <w:trHeight w:hRule="exact" w:val="977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</w:t>
            </w:r>
            <w:r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професійних</w:t>
            </w:r>
            <w:r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учасників</w:t>
            </w:r>
            <w:r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фондового ринку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1290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1321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1346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1401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1394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1488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1576</w:t>
            </w:r>
          </w:p>
        </w:tc>
      </w:tr>
      <w:tr w:rsidR="007F055E" w:rsidRPr="00C75D1B" w:rsidTr="00C2077B">
        <w:trPr>
          <w:trHeight w:hRule="exact" w:val="990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Відношення</w:t>
            </w:r>
            <w:r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загального</w:t>
            </w:r>
            <w:r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обсягу</w:t>
            </w:r>
            <w:r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торгів фондового ринку до </w:t>
            </w: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ВВП, </w:t>
            </w: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21,40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29,01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45,20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76,82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90,63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96,50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91,70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055E" w:rsidRPr="00C75D1B" w:rsidRDefault="007F055E" w:rsidP="00C2077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1B">
              <w:rPr>
                <w:rStyle w:val="28pt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106,30</w:t>
            </w:r>
          </w:p>
        </w:tc>
      </w:tr>
    </w:tbl>
    <w:p w:rsidR="007F055E" w:rsidRPr="00824639" w:rsidRDefault="007F055E" w:rsidP="00637CD2">
      <w:pPr>
        <w:pStyle w:val="90"/>
        <w:shd w:val="clear" w:color="auto" w:fill="auto"/>
        <w:tabs>
          <w:tab w:val="left" w:pos="265"/>
        </w:tabs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4639">
        <w:rPr>
          <w:rFonts w:ascii="Times New Roman" w:hAnsi="Times New Roman" w:cs="Times New Roman"/>
          <w:sz w:val="20"/>
          <w:szCs w:val="20"/>
          <w:lang w:val="uk-UA"/>
        </w:rPr>
        <w:t xml:space="preserve">Джерело: </w:t>
      </w:r>
      <w:r w:rsidRPr="00824639">
        <w:rPr>
          <w:rStyle w:val="9"/>
          <w:rFonts w:ascii="Times New Roman" w:hAnsi="Times New Roman" w:cs="Times New Roman"/>
          <w:color w:val="000000"/>
          <w:sz w:val="20"/>
          <w:szCs w:val="20"/>
          <w:lang w:eastAsia="uk-UA"/>
        </w:rPr>
        <w:t>Офіційний сайт Національної</w:t>
      </w:r>
      <w:r>
        <w:rPr>
          <w:rStyle w:val="9"/>
          <w:rFonts w:ascii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824639">
        <w:rPr>
          <w:rStyle w:val="9"/>
          <w:rFonts w:ascii="Times New Roman" w:hAnsi="Times New Roman" w:cs="Times New Roman"/>
          <w:color w:val="000000"/>
          <w:sz w:val="20"/>
          <w:szCs w:val="20"/>
          <w:lang w:eastAsia="uk-UA"/>
        </w:rPr>
        <w:t>комісії з цінни</w:t>
      </w:r>
      <w:r>
        <w:rPr>
          <w:rStyle w:val="9"/>
          <w:rFonts w:ascii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824639">
        <w:rPr>
          <w:rStyle w:val="9"/>
          <w:rFonts w:ascii="Times New Roman" w:hAnsi="Times New Roman" w:cs="Times New Roman"/>
          <w:color w:val="000000"/>
          <w:sz w:val="20"/>
          <w:szCs w:val="20"/>
          <w:lang w:eastAsia="uk-UA"/>
        </w:rPr>
        <w:t>паперів та фондового ринку</w:t>
      </w:r>
      <w:r>
        <w:rPr>
          <w:rStyle w:val="9"/>
          <w:rFonts w:ascii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824639">
        <w:rPr>
          <w:rStyle w:val="9"/>
          <w:rFonts w:ascii="Times New Roman" w:hAnsi="Times New Roman" w:cs="Times New Roman"/>
          <w:color w:val="000000"/>
          <w:sz w:val="20"/>
          <w:szCs w:val="20"/>
          <w:lang w:eastAsia="uk-UA"/>
        </w:rPr>
        <w:t>[</w:t>
      </w:r>
      <w:r>
        <w:rPr>
          <w:rStyle w:val="9"/>
          <w:rFonts w:ascii="Times New Roman" w:hAnsi="Times New Roman" w:cs="Times New Roman"/>
          <w:color w:val="000000"/>
          <w:sz w:val="20"/>
          <w:szCs w:val="20"/>
          <w:lang w:val="uk-UA" w:eastAsia="uk-UA"/>
        </w:rPr>
        <w:t>Електронний ресурс</w:t>
      </w:r>
      <w:r w:rsidRPr="00824639">
        <w:rPr>
          <w:rStyle w:val="9"/>
          <w:rFonts w:ascii="Times New Roman" w:hAnsi="Times New Roman" w:cs="Times New Roman"/>
          <w:color w:val="000000"/>
          <w:sz w:val="20"/>
          <w:szCs w:val="20"/>
          <w:lang w:eastAsia="uk-UA"/>
        </w:rPr>
        <w:t xml:space="preserve">]. - Режим доступу: </w:t>
      </w:r>
      <w:hyperlink r:id="rId7" w:history="1">
        <w:r w:rsidRPr="00824639">
          <w:rPr>
            <w:rStyle w:val="Hyperlink"/>
            <w:rFonts w:ascii="Times New Roman" w:hAnsi="Times New Roman"/>
            <w:sz w:val="20"/>
            <w:szCs w:val="20"/>
            <w:lang w:val="en-US"/>
          </w:rPr>
          <w:t>www</w:t>
        </w:r>
        <w:r w:rsidRPr="00824639">
          <w:rPr>
            <w:rStyle w:val="Hyperlink"/>
            <w:rFonts w:ascii="Times New Roman" w:hAnsi="Times New Roman"/>
            <w:sz w:val="20"/>
            <w:szCs w:val="20"/>
          </w:rPr>
          <w:t>.</w:t>
        </w:r>
        <w:r w:rsidRPr="00824639">
          <w:rPr>
            <w:rStyle w:val="Hyperlink"/>
            <w:rFonts w:ascii="Times New Roman" w:hAnsi="Times New Roman"/>
            <w:sz w:val="20"/>
            <w:szCs w:val="20"/>
            <w:lang w:val="en-US"/>
          </w:rPr>
          <w:t>ssmsc</w:t>
        </w:r>
        <w:r w:rsidRPr="00824639">
          <w:rPr>
            <w:rStyle w:val="Hyperlink"/>
            <w:rFonts w:ascii="Times New Roman" w:hAnsi="Times New Roman"/>
            <w:sz w:val="20"/>
            <w:szCs w:val="20"/>
          </w:rPr>
          <w:t>.</w:t>
        </w:r>
        <w:r w:rsidRPr="00824639">
          <w:rPr>
            <w:rStyle w:val="Hyperlink"/>
            <w:rFonts w:ascii="Times New Roman" w:hAnsi="Times New Roman"/>
            <w:sz w:val="20"/>
            <w:szCs w:val="20"/>
            <w:lang w:val="en-US"/>
          </w:rPr>
          <w:t>gov</w:t>
        </w:r>
        <w:r w:rsidRPr="00824639">
          <w:rPr>
            <w:rStyle w:val="Hyperlink"/>
            <w:rFonts w:ascii="Times New Roman" w:hAnsi="Times New Roman"/>
            <w:sz w:val="20"/>
            <w:szCs w:val="20"/>
          </w:rPr>
          <w:t>.</w:t>
        </w:r>
        <w:r w:rsidRPr="00824639">
          <w:rPr>
            <w:rStyle w:val="Hyperlink"/>
            <w:rFonts w:ascii="Times New Roman" w:hAnsi="Times New Roman"/>
            <w:sz w:val="20"/>
            <w:szCs w:val="20"/>
            <w:lang w:val="en-US"/>
          </w:rPr>
          <w:t>ua</w:t>
        </w:r>
      </w:hyperlink>
    </w:p>
    <w:p w:rsidR="007F055E" w:rsidRPr="00D40BFA" w:rsidRDefault="007F055E" w:rsidP="00637CD2">
      <w:pPr>
        <w:pStyle w:val="20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055E" w:rsidRPr="00A02C1F" w:rsidRDefault="007F055E" w:rsidP="00637CD2">
      <w:pPr>
        <w:pStyle w:val="20"/>
        <w:shd w:val="clear" w:color="auto" w:fill="auto"/>
        <w:spacing w:after="0" w:line="360" w:lineRule="auto"/>
        <w:ind w:firstLine="709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Розвиток фондового ринку у 2000-2007 рр. стимулювався, з одного боку, стабільним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розвитком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економіки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країни, зростанням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обсягів ВВП, промислового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виробництва, а з іншого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–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сприятливими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зовнішніми факторами: зростанням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попиту на світових ринках на продукцію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основних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українських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експортерів, зростанням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цін на продукцію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металургії та усіх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основних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фондових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індексів. Перелічені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фактори в поєднанні з дешевизною фінансових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активів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призвели до чергового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надходження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спекулятивних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іноземних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капіталів. Так, за підсумками 2007 року індекс ПФТС зріс на 135,4% - найвищий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показник у Європі і другий у світі. На фоніцьоговідбулосязростанняукраїнського фондового ринку, що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обумовлене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збільшенням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обсягів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прямих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іноземних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інвестицій в економікуУкраїни. Більша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частина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цих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коштів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інвестувалася в акції та облігації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українських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емітентів. Крім того, населення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переорієнтувало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свої доходи у фондовий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ринок, що стало можливим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із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розвитком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інститутів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спільного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інвестування.</w:t>
      </w:r>
    </w:p>
    <w:p w:rsidR="007F055E" w:rsidRPr="00926AFE" w:rsidRDefault="007F055E" w:rsidP="00637CD2">
      <w:pPr>
        <w:pStyle w:val="20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A61">
        <w:rPr>
          <w:rFonts w:ascii="Times New Roman" w:hAnsi="Times New Roman" w:cs="Times New Roman"/>
          <w:color w:val="000000"/>
          <w:sz w:val="28"/>
          <w:szCs w:val="28"/>
        </w:rPr>
        <w:t>На початку 2008 року на світовому фондовому ринку спостерігається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6A61">
        <w:rPr>
          <w:rFonts w:ascii="Times New Roman" w:hAnsi="Times New Roman" w:cs="Times New Roman"/>
          <w:color w:val="000000"/>
          <w:sz w:val="28"/>
          <w:szCs w:val="28"/>
        </w:rPr>
        <w:t>черговий виток криз. У січні 2008 року основні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6A61">
        <w:rPr>
          <w:rFonts w:ascii="Times New Roman" w:hAnsi="Times New Roman" w:cs="Times New Roman"/>
          <w:color w:val="000000"/>
          <w:sz w:val="28"/>
          <w:szCs w:val="28"/>
        </w:rPr>
        <w:t>фондові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6A61">
        <w:rPr>
          <w:rFonts w:ascii="Times New Roman" w:hAnsi="Times New Roman" w:cs="Times New Roman"/>
          <w:color w:val="000000"/>
          <w:sz w:val="28"/>
          <w:szCs w:val="28"/>
        </w:rPr>
        <w:t>індекси США і Європи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6A61">
        <w:rPr>
          <w:rFonts w:ascii="Times New Roman" w:hAnsi="Times New Roman" w:cs="Times New Roman"/>
          <w:color w:val="000000"/>
          <w:sz w:val="28"/>
          <w:szCs w:val="28"/>
        </w:rPr>
        <w:t>обвалилися на 2,5 - 3%, падіння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6A61">
        <w:rPr>
          <w:rFonts w:ascii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6A61">
        <w:rPr>
          <w:rFonts w:ascii="Times New Roman" w:hAnsi="Times New Roman" w:cs="Times New Roman"/>
          <w:color w:val="000000"/>
          <w:sz w:val="28"/>
          <w:szCs w:val="28"/>
        </w:rPr>
        <w:t>яких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6A61">
        <w:rPr>
          <w:rFonts w:ascii="Times New Roman" w:hAnsi="Times New Roman" w:cs="Times New Roman"/>
          <w:color w:val="000000"/>
          <w:sz w:val="28"/>
          <w:szCs w:val="28"/>
        </w:rPr>
        <w:t>акцій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6A61">
        <w:rPr>
          <w:rFonts w:ascii="Times New Roman" w:hAnsi="Times New Roman" w:cs="Times New Roman"/>
          <w:color w:val="000000"/>
          <w:sz w:val="28"/>
          <w:szCs w:val="28"/>
        </w:rPr>
        <w:t>європейських і американських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6A61">
        <w:rPr>
          <w:rFonts w:ascii="Times New Roman" w:hAnsi="Times New Roman" w:cs="Times New Roman"/>
          <w:color w:val="000000"/>
          <w:sz w:val="28"/>
          <w:szCs w:val="28"/>
        </w:rPr>
        <w:t>компаній за два дніся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6A61">
        <w:rPr>
          <w:rFonts w:ascii="Times New Roman" w:hAnsi="Times New Roman" w:cs="Times New Roman"/>
          <w:color w:val="000000"/>
          <w:sz w:val="28"/>
          <w:szCs w:val="28"/>
        </w:rPr>
        <w:t>гнуло 25%. Слідом за ринками розвинених держав криза торкнулась фондових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6A61">
        <w:rPr>
          <w:rFonts w:ascii="Times New Roman" w:hAnsi="Times New Roman" w:cs="Times New Roman"/>
          <w:color w:val="000000"/>
          <w:sz w:val="28"/>
          <w:szCs w:val="28"/>
        </w:rPr>
        <w:t>бірж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6A61">
        <w:rPr>
          <w:rFonts w:ascii="Times New Roman" w:hAnsi="Times New Roman" w:cs="Times New Roman"/>
          <w:color w:val="000000"/>
          <w:sz w:val="28"/>
          <w:szCs w:val="28"/>
        </w:rPr>
        <w:t>Росії, Індії, Китаю, Бразилії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України</w:t>
      </w:r>
      <w:r w:rsidRPr="00746A61">
        <w:rPr>
          <w:rFonts w:ascii="Times New Roman" w:hAnsi="Times New Roman" w:cs="Times New Roman"/>
          <w:color w:val="000000"/>
          <w:sz w:val="28"/>
          <w:szCs w:val="28"/>
        </w:rPr>
        <w:t xml:space="preserve"> (у середньому на 10 – 15%)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Pr="00746A61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Наступний етап розвитку фондового ринку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України</w:t>
      </w:r>
      <w:r w:rsidRPr="00746A61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2008-2009 рр. характеризувався стрімким падінням як під впливом зовнішніх (іпотечна криза в США, що перетворилася на світову фінансову кризу), так і внутрішніх факторів (перевага на фондовому ринку іноземних спекулятивних інвесторів).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Незважаючи на значну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закритість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українського фондового ринку від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світових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фінансових криз, він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продовжував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чутливо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реагувати на зовнішні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фактори. Іноземні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інвестори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воліли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вивести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свої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активи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із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цінних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паперів і в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кластиїх у більшліквідні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швейцарські франки й золото, а місцеві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інвестори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підтримали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цю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тенденцію. Не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спекулятивні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іноземні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інвестори, що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зазнали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збитків на західних ринках, також стали виводити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свої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активи з українського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фондового ринку для покриття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своїх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збитків; насамперед почали виводити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кошти з ризикових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активів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західні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інвестиційні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фонди. З початком 2008 року західні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інвестори з українського фондового ринку вивели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від $50 до $100 млн. При цьому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вітчизняні банки, що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тримали до 17% своїх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активів у державних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цінних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паперах для підтримки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своєї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ліквідності, стали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массово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продавати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корпоративні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цінні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папери. У результаті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склалася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несприятлива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ситуація, за якої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відплив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іноземного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капіталу й падіння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фондового ринку вже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неможлив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обуло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стримати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навіть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завдяки активам місцевих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інвесторів і зусиллям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держави. Це, у свою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чергу, спричинило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вихіді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з фондового ринку спочатку великих українських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уча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сників, а згодом і населення </w:t>
      </w:r>
      <w:r w:rsidRPr="00292340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292340">
        <w:rPr>
          <w:rFonts w:ascii="Times New Roman" w:hAnsi="Times New Roman" w:cs="Times New Roman"/>
          <w:sz w:val="28"/>
          <w:szCs w:val="28"/>
        </w:rPr>
        <w:t>]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7F055E" w:rsidRDefault="007F055E" w:rsidP="00637CD2">
      <w:pPr>
        <w:pStyle w:val="20"/>
        <w:shd w:val="clear" w:color="auto" w:fill="auto"/>
        <w:spacing w:after="0" w:line="360" w:lineRule="auto"/>
        <w:ind w:firstLine="709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На таку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динаміку у 2009 році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вплинули: загальна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кризова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ситуація в економіці (падіння ВВП, збиткова робота підприємств, відсутність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структурних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економічних реформ, девальваційний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тиск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тощо), зниження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рейтингів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України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всіма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міжнародними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рейтинговими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агенціями; різкі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коливання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цін на нафту й дорогоцінні метали; реалізація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програми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кредитування Стенд-бай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val="en-US"/>
        </w:rPr>
        <w:t>stand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val="en-US"/>
        </w:rPr>
        <w:t>by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МВФ та співпраця з іншими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міжнародн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ими фінансовими організаціями </w:t>
      </w:r>
      <w:r w:rsidRPr="00292340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292340">
        <w:rPr>
          <w:rFonts w:ascii="Times New Roman" w:hAnsi="Times New Roman" w:cs="Times New Roman"/>
          <w:sz w:val="28"/>
          <w:szCs w:val="28"/>
        </w:rPr>
        <w:t>]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7F055E" w:rsidRPr="00926AFE" w:rsidRDefault="007F055E" w:rsidP="00637CD2">
      <w:pPr>
        <w:pStyle w:val="20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Фінансова криза поряд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із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негативними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має і позитивні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наслідк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и. На думку деяких експертів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, наслідками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фінансової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кризи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можуть бути такі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процеси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на фондовому ринку:</w:t>
      </w:r>
    </w:p>
    <w:p w:rsidR="007F055E" w:rsidRPr="00926AFE" w:rsidRDefault="007F055E" w:rsidP="00637CD2">
      <w:pPr>
        <w:pStyle w:val="20"/>
        <w:numPr>
          <w:ilvl w:val="0"/>
          <w:numId w:val="1"/>
        </w:numPr>
        <w:shd w:val="clear" w:color="auto" w:fill="auto"/>
        <w:tabs>
          <w:tab w:val="left" w:pos="70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Концентрація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капіталу, укрупнення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банківських і небанківських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фінансових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установ;</w:t>
      </w:r>
    </w:p>
    <w:p w:rsidR="007F055E" w:rsidRPr="00926AFE" w:rsidRDefault="007F055E" w:rsidP="00637CD2">
      <w:pPr>
        <w:pStyle w:val="20"/>
        <w:numPr>
          <w:ilvl w:val="0"/>
          <w:numId w:val="1"/>
        </w:numPr>
        <w:shd w:val="clear" w:color="auto" w:fill="auto"/>
        <w:tabs>
          <w:tab w:val="left" w:pos="70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Активізація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процесів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злиття і поглинання, збільшення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кількості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угод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купівлі-продажу для встановлення корпоративного контролю;</w:t>
      </w:r>
    </w:p>
    <w:p w:rsidR="007F055E" w:rsidRPr="00926AFE" w:rsidRDefault="007F055E" w:rsidP="00637CD2">
      <w:pPr>
        <w:pStyle w:val="20"/>
        <w:numPr>
          <w:ilvl w:val="0"/>
          <w:numId w:val="1"/>
        </w:numPr>
        <w:shd w:val="clear" w:color="auto" w:fill="auto"/>
        <w:tabs>
          <w:tab w:val="left" w:pos="70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Зміна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системи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ціно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утворення на фінансові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активи з метою недопущення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маніпулювання ринком, недобросовісної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торгівлі;</w:t>
      </w:r>
    </w:p>
    <w:p w:rsidR="007F055E" w:rsidRPr="00926AFE" w:rsidRDefault="007F055E" w:rsidP="00637CD2">
      <w:pPr>
        <w:pStyle w:val="20"/>
        <w:numPr>
          <w:ilvl w:val="0"/>
          <w:numId w:val="1"/>
        </w:numPr>
        <w:shd w:val="clear" w:color="auto" w:fill="auto"/>
        <w:tabs>
          <w:tab w:val="left" w:pos="70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Зміна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структури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фінансових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активів у бік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збільшення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боргових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цінних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паперів;</w:t>
      </w:r>
    </w:p>
    <w:p w:rsidR="007F055E" w:rsidRPr="00926AFE" w:rsidRDefault="007F055E" w:rsidP="00637CD2">
      <w:pPr>
        <w:pStyle w:val="20"/>
        <w:numPr>
          <w:ilvl w:val="0"/>
          <w:numId w:val="1"/>
        </w:numPr>
        <w:shd w:val="clear" w:color="auto" w:fill="auto"/>
        <w:tabs>
          <w:tab w:val="left" w:pos="70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Розроблення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стандартів і кодексів, які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ґрунтуються на міжнародних принципах і є придатними для застосування в національних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умовах;</w:t>
      </w:r>
    </w:p>
    <w:p w:rsidR="007F055E" w:rsidRPr="00926AFE" w:rsidRDefault="007F055E" w:rsidP="00637CD2">
      <w:pPr>
        <w:pStyle w:val="20"/>
        <w:numPr>
          <w:ilvl w:val="0"/>
          <w:numId w:val="1"/>
        </w:numPr>
        <w:shd w:val="clear" w:color="auto" w:fill="auto"/>
        <w:tabs>
          <w:tab w:val="left" w:pos="70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Розроблення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нових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методів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прогнозування, оцінки й управління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ризиками, розроблення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ефективних процедур клірингу і взаєморозрахунків;</w:t>
      </w:r>
    </w:p>
    <w:p w:rsidR="007F055E" w:rsidRPr="00060375" w:rsidRDefault="007F055E" w:rsidP="00637CD2">
      <w:pPr>
        <w:pStyle w:val="20"/>
        <w:numPr>
          <w:ilvl w:val="0"/>
          <w:numId w:val="1"/>
        </w:numPr>
        <w:shd w:val="clear" w:color="auto" w:fill="auto"/>
        <w:tabs>
          <w:tab w:val="left" w:pos="707"/>
        </w:tabs>
        <w:spacing w:after="0" w:line="360" w:lineRule="auto"/>
        <w:ind w:firstLine="709"/>
        <w:jc w:val="both"/>
        <w:rPr>
          <w:rStyle w:val="2"/>
          <w:rFonts w:ascii="Times New Roman" w:hAnsi="Times New Roman" w:cs="Times New Roman"/>
          <w:sz w:val="28"/>
          <w:szCs w:val="28"/>
        </w:rPr>
      </w:pP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Створенняе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фективної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податкової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політики, яка має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забезпечити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однакове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податкове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навантаження для всіх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суб’єктів фондового ринку</w:t>
      </w:r>
      <w:r w:rsidRPr="00292340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3, с. 182-185</w:t>
      </w:r>
      <w:r w:rsidRPr="00292340">
        <w:rPr>
          <w:rFonts w:ascii="Times New Roman" w:hAnsi="Times New Roman" w:cs="Times New Roman"/>
          <w:sz w:val="28"/>
          <w:szCs w:val="28"/>
        </w:rPr>
        <w:t>]</w:t>
      </w:r>
      <w:r w:rsidRPr="00926AFE">
        <w:rPr>
          <w:rStyle w:val="2"/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7F055E" w:rsidRPr="00060375" w:rsidRDefault="007F055E" w:rsidP="00637CD2">
      <w:pPr>
        <w:pStyle w:val="20"/>
        <w:shd w:val="clear" w:color="auto" w:fill="auto"/>
        <w:tabs>
          <w:tab w:val="left" w:pos="70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2010 року на фондовому ринку спостерігається піднесення (табл. </w:t>
      </w:r>
      <w:r w:rsidRPr="00EB061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7F055E" w:rsidRPr="00EB061C" w:rsidRDefault="007F055E" w:rsidP="00637CD2">
      <w:pPr>
        <w:shd w:val="clear" w:color="auto" w:fill="FFFFFF"/>
        <w:spacing w:after="0" w:line="360" w:lineRule="auto"/>
        <w:jc w:val="right"/>
        <w:rPr>
          <w:rFonts w:cs="Calibri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Таблиця 2</w:t>
      </w:r>
    </w:p>
    <w:p w:rsidR="007F055E" w:rsidRPr="000A28DA" w:rsidRDefault="007F055E" w:rsidP="00637CD2">
      <w:pPr>
        <w:shd w:val="clear" w:color="auto" w:fill="FFFFFF"/>
        <w:spacing w:after="0" w:line="360" w:lineRule="auto"/>
        <w:jc w:val="center"/>
        <w:rPr>
          <w:rFonts w:cs="Calibri"/>
          <w:sz w:val="28"/>
          <w:szCs w:val="28"/>
        </w:rPr>
      </w:pPr>
      <w:r w:rsidRPr="000A28DA">
        <w:rPr>
          <w:rFonts w:ascii="Times New Roman" w:hAnsi="Times New Roman"/>
          <w:b/>
          <w:bCs/>
          <w:sz w:val="28"/>
          <w:szCs w:val="28"/>
          <w:lang w:val="uk-UA"/>
        </w:rPr>
        <w:t>Обсяг виконаних біржових контракті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 з цінними паперами у 2011-2014</w:t>
      </w:r>
      <w:r w:rsidRPr="000A28DA">
        <w:rPr>
          <w:rFonts w:ascii="Times New Roman" w:hAnsi="Times New Roman"/>
          <w:b/>
          <w:bCs/>
          <w:sz w:val="28"/>
          <w:szCs w:val="28"/>
          <w:lang w:val="uk-UA"/>
        </w:rPr>
        <w:t xml:space="preserve"> роках в розрізі місяців</w:t>
      </w:r>
      <w:r w:rsidRPr="000A28DA">
        <w:rPr>
          <w:rFonts w:ascii="Times New Roman" w:hAnsi="Times New Roman"/>
          <w:b/>
          <w:bCs/>
          <w:sz w:val="28"/>
          <w:szCs w:val="28"/>
        </w:rPr>
        <w:t>, </w:t>
      </w:r>
      <w:r w:rsidRPr="000A28DA">
        <w:rPr>
          <w:rFonts w:ascii="Times New Roman" w:hAnsi="Times New Roman"/>
          <w:b/>
          <w:bCs/>
          <w:sz w:val="28"/>
          <w:szCs w:val="28"/>
          <w:lang w:val="uk-UA"/>
        </w:rPr>
        <w:t>млн грн.</w:t>
      </w:r>
    </w:p>
    <w:tbl>
      <w:tblPr>
        <w:tblW w:w="9440" w:type="dxa"/>
        <w:tblInd w:w="108" w:type="dxa"/>
        <w:tblCellMar>
          <w:left w:w="0" w:type="dxa"/>
          <w:right w:w="0" w:type="dxa"/>
        </w:tblCellMar>
        <w:tblLook w:val="00A0"/>
      </w:tblPr>
      <w:tblGrid>
        <w:gridCol w:w="1801"/>
        <w:gridCol w:w="1910"/>
        <w:gridCol w:w="1909"/>
        <w:gridCol w:w="1910"/>
        <w:gridCol w:w="1910"/>
      </w:tblGrid>
      <w:tr w:rsidR="007F055E" w:rsidRPr="00C75D1B" w:rsidTr="00C2077B">
        <w:trPr>
          <w:trHeight w:val="266"/>
        </w:trPr>
        <w:tc>
          <w:tcPr>
            <w:tcW w:w="18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bookmarkStart w:id="0" w:name="OLE_LINK1"/>
            <w:r w:rsidRPr="0006037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Період</w:t>
            </w:r>
            <w:bookmarkEnd w:id="0"/>
          </w:p>
        </w:tc>
        <w:tc>
          <w:tcPr>
            <w:tcW w:w="1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2011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2012</w:t>
            </w:r>
          </w:p>
        </w:tc>
        <w:tc>
          <w:tcPr>
            <w:tcW w:w="1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2013</w:t>
            </w:r>
          </w:p>
        </w:tc>
        <w:tc>
          <w:tcPr>
            <w:tcW w:w="1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2014</w:t>
            </w:r>
          </w:p>
        </w:tc>
      </w:tr>
      <w:tr w:rsidR="007F055E" w:rsidRPr="00C75D1B" w:rsidTr="00C2077B">
        <w:trPr>
          <w:trHeight w:val="291"/>
        </w:trPr>
        <w:tc>
          <w:tcPr>
            <w:tcW w:w="1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14 069,45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13 952,22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26 694,49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055E" w:rsidRPr="000A28DA" w:rsidRDefault="007F055E" w:rsidP="00C20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75D1B">
              <w:rPr>
                <w:rFonts w:ascii="Times New Roman" w:hAnsi="Times New Roman"/>
                <w:sz w:val="20"/>
                <w:szCs w:val="20"/>
              </w:rPr>
              <w:t>43 523,54</w:t>
            </w:r>
          </w:p>
        </w:tc>
      </w:tr>
      <w:tr w:rsidR="007F055E" w:rsidRPr="00C75D1B" w:rsidTr="00C2077B">
        <w:trPr>
          <w:trHeight w:val="349"/>
        </w:trPr>
        <w:tc>
          <w:tcPr>
            <w:tcW w:w="1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18 956,70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14 561,24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24 795,52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055E" w:rsidRPr="000A28DA" w:rsidRDefault="007F055E" w:rsidP="00C20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75D1B">
              <w:rPr>
                <w:rFonts w:ascii="Times New Roman" w:hAnsi="Times New Roman"/>
                <w:sz w:val="20"/>
                <w:szCs w:val="20"/>
              </w:rPr>
              <w:t>45 219,53</w:t>
            </w:r>
          </w:p>
        </w:tc>
      </w:tr>
      <w:tr w:rsidR="007F055E" w:rsidRPr="00C75D1B" w:rsidTr="00C2077B">
        <w:trPr>
          <w:trHeight w:val="291"/>
        </w:trPr>
        <w:tc>
          <w:tcPr>
            <w:tcW w:w="1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23 569,27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15 711,17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33 </w:t>
            </w:r>
            <w:bookmarkStart w:id="1" w:name="_GoBack"/>
            <w:bookmarkEnd w:id="1"/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867,43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F055E" w:rsidRPr="00C75D1B" w:rsidTr="00C2077B">
        <w:trPr>
          <w:trHeight w:val="291"/>
        </w:trPr>
        <w:tc>
          <w:tcPr>
            <w:tcW w:w="1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23 600,53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14 829,38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37 265,89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F055E" w:rsidRPr="00C75D1B" w:rsidTr="00C2077B">
        <w:trPr>
          <w:trHeight w:val="291"/>
        </w:trPr>
        <w:tc>
          <w:tcPr>
            <w:tcW w:w="1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18 356,86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14 458,18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33 370,56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F055E" w:rsidRPr="00C75D1B" w:rsidTr="00C2077B">
        <w:trPr>
          <w:trHeight w:val="291"/>
        </w:trPr>
        <w:tc>
          <w:tcPr>
            <w:tcW w:w="1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15 084,58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25 691,71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35 767,15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F055E" w:rsidRPr="00C75D1B" w:rsidTr="00C2077B">
        <w:trPr>
          <w:trHeight w:val="291"/>
        </w:trPr>
        <w:tc>
          <w:tcPr>
            <w:tcW w:w="1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23 248,18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21 007,66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54 877,45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F055E" w:rsidRPr="00C75D1B" w:rsidTr="00C2077B">
        <w:trPr>
          <w:trHeight w:val="291"/>
        </w:trPr>
        <w:tc>
          <w:tcPr>
            <w:tcW w:w="1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26 090,82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26 972,97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63 197,52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F055E" w:rsidRPr="00C75D1B" w:rsidTr="00C2077B">
        <w:trPr>
          <w:trHeight w:val="291"/>
        </w:trPr>
        <w:tc>
          <w:tcPr>
            <w:tcW w:w="1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20 059,53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17 531,10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41 113,30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F055E" w:rsidRPr="00C75D1B" w:rsidTr="00C2077B">
        <w:trPr>
          <w:trHeight w:val="291"/>
        </w:trPr>
        <w:tc>
          <w:tcPr>
            <w:tcW w:w="1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17 842,63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24 865,24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31 537,08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F055E" w:rsidRPr="00C75D1B" w:rsidTr="00C2077B">
        <w:trPr>
          <w:trHeight w:val="291"/>
        </w:trPr>
        <w:tc>
          <w:tcPr>
            <w:tcW w:w="1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Листопад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16 579,16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40 080,61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44 691,21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F055E" w:rsidRPr="00C75D1B" w:rsidTr="00C2077B">
        <w:trPr>
          <w:trHeight w:val="291"/>
        </w:trPr>
        <w:tc>
          <w:tcPr>
            <w:tcW w:w="1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Грудень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18 382,36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34 602,01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sz w:val="20"/>
                <w:szCs w:val="20"/>
                <w:lang w:val="uk-UA"/>
              </w:rPr>
              <w:t>47 457,25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F055E" w:rsidRPr="00C75D1B" w:rsidTr="00C2077B">
        <w:trPr>
          <w:trHeight w:val="291"/>
        </w:trPr>
        <w:tc>
          <w:tcPr>
            <w:tcW w:w="1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235 840,07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264 263,50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cs="Calibri"/>
              </w:rPr>
            </w:pPr>
            <w:r w:rsidRPr="0006037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474 634,86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055E" w:rsidRPr="00060375" w:rsidRDefault="007F055E" w:rsidP="00C207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629 430,00</w:t>
            </w:r>
          </w:p>
        </w:tc>
      </w:tr>
    </w:tbl>
    <w:p w:rsidR="007F055E" w:rsidRPr="00B023C7" w:rsidRDefault="007F055E" w:rsidP="00637CD2">
      <w:pPr>
        <w:shd w:val="clear" w:color="auto" w:fill="FFFFFF"/>
        <w:spacing w:after="0" w:line="240" w:lineRule="auto"/>
        <w:ind w:firstLine="709"/>
        <w:jc w:val="both"/>
        <w:rPr>
          <w:rFonts w:cs="Calibri"/>
          <w:lang w:val="uk-UA"/>
        </w:rPr>
      </w:pPr>
      <w:r w:rsidRPr="00B023C7">
        <w:rPr>
          <w:rFonts w:ascii="Times New Roman" w:hAnsi="Times New Roman"/>
          <w:sz w:val="20"/>
          <w:szCs w:val="20"/>
          <w:lang w:val="uk-UA"/>
        </w:rPr>
        <w:t xml:space="preserve">Джерело:  Лисенко Ж. П. Фінансовий ринок України – стан, тренди та напрями розвитку/ Ж. П. Лисенко// </w:t>
      </w:r>
      <w:r w:rsidRPr="00B023C7">
        <w:rPr>
          <w:rFonts w:ascii="Times New Roman" w:hAnsi="Times New Roman"/>
          <w:sz w:val="20"/>
          <w:szCs w:val="20"/>
        </w:rPr>
        <w:t>[</w:t>
      </w:r>
      <w:r w:rsidRPr="00B023C7">
        <w:rPr>
          <w:rFonts w:ascii="Times New Roman" w:hAnsi="Times New Roman"/>
          <w:sz w:val="20"/>
          <w:szCs w:val="20"/>
          <w:lang w:val="uk-UA"/>
        </w:rPr>
        <w:t>Електронний ресурс</w:t>
      </w:r>
      <w:r w:rsidRPr="00B023C7">
        <w:rPr>
          <w:rFonts w:ascii="Times New Roman" w:hAnsi="Times New Roman"/>
          <w:sz w:val="20"/>
          <w:szCs w:val="20"/>
        </w:rPr>
        <w:t>]</w:t>
      </w:r>
      <w:r w:rsidRPr="00B023C7">
        <w:rPr>
          <w:rFonts w:ascii="Times New Roman" w:hAnsi="Times New Roman"/>
          <w:sz w:val="20"/>
          <w:szCs w:val="20"/>
          <w:lang w:val="uk-UA"/>
        </w:rPr>
        <w:t>. – Режим доступу: http://www.economy.nayka.com.ua/?op=1&amp;z=3126</w:t>
      </w:r>
    </w:p>
    <w:p w:rsidR="007F055E" w:rsidRDefault="007F055E" w:rsidP="00637C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055E" w:rsidRDefault="007F055E" w:rsidP="00637C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53CD6">
        <w:rPr>
          <w:rFonts w:ascii="Times New Roman" w:hAnsi="Times New Roman"/>
          <w:sz w:val="28"/>
          <w:szCs w:val="28"/>
          <w:lang w:val="uk-UA"/>
        </w:rPr>
        <w:t>Протягом січня - лютого 2014 року порівняно з даними аналогічного періоду 2013 року обсяг біржових контрактів з цінними паперами на організаторах торгівлі збільшився на 72,35% (або на 37,25 млрдгрн) (січень –лютий 2013 року – 51,49 млрд</w:t>
      </w:r>
      <w:r>
        <w:rPr>
          <w:rFonts w:ascii="Times New Roman" w:hAnsi="Times New Roman"/>
          <w:sz w:val="28"/>
          <w:szCs w:val="28"/>
          <w:lang w:val="uk-UA"/>
        </w:rPr>
        <w:t>. грн.</w:t>
      </w:r>
      <w:r w:rsidRPr="00053CD6">
        <w:rPr>
          <w:rFonts w:ascii="Times New Roman" w:hAnsi="Times New Roman"/>
          <w:sz w:val="28"/>
          <w:szCs w:val="28"/>
          <w:lang w:val="uk-UA"/>
        </w:rPr>
        <w:t>).</w:t>
      </w:r>
      <w:r w:rsidRPr="00060375">
        <w:rPr>
          <w:rFonts w:ascii="Times New Roman" w:hAnsi="Times New Roman"/>
          <w:sz w:val="28"/>
          <w:szCs w:val="28"/>
          <w:lang w:val="uk-UA"/>
        </w:rPr>
        <w:t>Протягом січня – грудня 2013 року порівняно з даними аналогічного періоду 2012 року обсяг виконаних біржових контрактів з цінними паперами на організаторах торгівлі збільшився у 2 рази (або на 210,96 млрд. грн) (січень – грудень  2012 року – 2</w:t>
      </w:r>
      <w:r>
        <w:rPr>
          <w:rFonts w:ascii="Times New Roman" w:hAnsi="Times New Roman"/>
          <w:sz w:val="28"/>
          <w:szCs w:val="28"/>
          <w:lang w:val="uk-UA"/>
        </w:rPr>
        <w:t xml:space="preserve">63,67 млрд. </w:t>
      </w:r>
      <w:r w:rsidRPr="00060375">
        <w:rPr>
          <w:rFonts w:ascii="Times New Roman" w:hAnsi="Times New Roman"/>
          <w:sz w:val="28"/>
          <w:szCs w:val="28"/>
          <w:lang w:val="uk-UA"/>
        </w:rPr>
        <w:t>грн).</w:t>
      </w:r>
      <w:r>
        <w:rPr>
          <w:rFonts w:ascii="Times New Roman" w:hAnsi="Times New Roman"/>
          <w:sz w:val="28"/>
          <w:szCs w:val="28"/>
          <w:lang w:val="uk-UA"/>
        </w:rPr>
        <w:t xml:space="preserve"> Протягом 2011 року порівняно з даними аналогічного періоду 2010 </w:t>
      </w:r>
      <w:r w:rsidRPr="00060375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оку обсяг біржових контрактів з цінними паперами на організаторах торгівлі збільшився майже у 2 рази (або на 104,55 млрд. грн) (2010 рік – 131,29 млрд. грн.)</w:t>
      </w:r>
      <w:r w:rsidRPr="00D87388">
        <w:rPr>
          <w:rFonts w:ascii="Times New Roman" w:hAnsi="Times New Roman"/>
          <w:sz w:val="28"/>
          <w:szCs w:val="28"/>
          <w:lang w:val="uk-UA"/>
        </w:rPr>
        <w:t>[4]</w:t>
      </w:r>
      <w:r w:rsidRPr="00060375">
        <w:rPr>
          <w:rFonts w:ascii="Times New Roman" w:hAnsi="Times New Roman"/>
          <w:sz w:val="28"/>
          <w:szCs w:val="28"/>
          <w:lang w:val="uk-UA"/>
        </w:rPr>
        <w:t>.</w:t>
      </w:r>
    </w:p>
    <w:p w:rsidR="007F055E" w:rsidRDefault="007F055E" w:rsidP="00637CD2">
      <w:pPr>
        <w:pStyle w:val="20"/>
        <w:shd w:val="clear" w:color="auto" w:fill="auto"/>
        <w:tabs>
          <w:tab w:val="left" w:pos="2170"/>
        </w:tabs>
        <w:spacing w:after="0" w:line="360" w:lineRule="auto"/>
        <w:ind w:firstLine="709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43A62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Необхідно відзначити, що кри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зи 1998-1999 рр. та 2008-2009 рр. виявили</w:t>
      </w:r>
      <w:r w:rsidRPr="00943A62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дуже негативний аспект інтеграції українського фондового ринку в міжнародну фінансову систему:з одного боку, досить вільний доступ великих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943A62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закордонних спекулятивних інвесторів (зацікавленість у можливості одержання більш високих доходів при більш високому рівні ризику) викликає сильну залежність від настроїв на світовому ринку; з другого боку, закритість біржової системи й висока вартість входу на український ринок роблять практично неможливим залучення дрібних і середніх неспекулятивних інвесторів. </w:t>
      </w:r>
      <w:r w:rsidRPr="00053CD6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Під впливом зовнішніх факторів фондовий ринок піддається впливові криз, при цьому кризові фактори по</w:t>
      </w:r>
      <w:r w:rsidRPr="005E1648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силюються слабкою структурою учасників ринку, отже, падіння його внаслідок кризи виявляється більш глибоким, ніж на ринках із розвинутою економікою. Таким чином, тенденції розвитку українського фондового ринку дають підстави очікувати якісної і кількісної зміни в інвестиційному середовищі за умови позитивної динаміки прибутковості економіки в цілому, відсутності негативного впливу боргових ризиків держави та інших обставин.</w:t>
      </w:r>
    </w:p>
    <w:p w:rsidR="007F055E" w:rsidRDefault="007F055E" w:rsidP="00DE5E39">
      <w:pPr>
        <w:pStyle w:val="20"/>
        <w:shd w:val="clear" w:color="auto" w:fill="auto"/>
        <w:tabs>
          <w:tab w:val="left" w:pos="2170"/>
        </w:tabs>
        <w:spacing w:after="0" w:line="360" w:lineRule="auto"/>
        <w:ind w:firstLine="709"/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7F055E" w:rsidRDefault="007F055E" w:rsidP="00DE5E39">
      <w:pPr>
        <w:pStyle w:val="20"/>
        <w:shd w:val="clear" w:color="auto" w:fill="auto"/>
        <w:tabs>
          <w:tab w:val="left" w:pos="2170"/>
        </w:tabs>
        <w:spacing w:after="0" w:line="360" w:lineRule="auto"/>
        <w:ind w:firstLine="709"/>
        <w:rPr>
          <w:rStyle w:val="2"/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637CD2">
        <w:rPr>
          <w:rStyle w:val="2"/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Література:</w:t>
      </w:r>
    </w:p>
    <w:p w:rsidR="007F055E" w:rsidRPr="00292340" w:rsidRDefault="007F055E" w:rsidP="00292340">
      <w:pPr>
        <w:pStyle w:val="Footnote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92340">
        <w:rPr>
          <w:rStyle w:val="2"/>
          <w:rFonts w:ascii="Times New Roman" w:hAnsi="Times New Roman" w:cs="Times New Roman"/>
          <w:sz w:val="28"/>
          <w:szCs w:val="28"/>
          <w:lang w:val="uk-UA" w:eastAsia="uk-UA"/>
        </w:rPr>
        <w:t>1.</w:t>
      </w:r>
      <w:r w:rsidRPr="00292340">
        <w:rPr>
          <w:rFonts w:ascii="Times New Roman" w:hAnsi="Times New Roman"/>
          <w:sz w:val="28"/>
          <w:szCs w:val="28"/>
          <w:lang w:val="uk-UA"/>
        </w:rPr>
        <w:t xml:space="preserve"> Баула О. В. Кризові загрози світового та українського фондового ринку / О. В. Баула// </w:t>
      </w:r>
      <w:r w:rsidRPr="00292340">
        <w:rPr>
          <w:rFonts w:ascii="Times New Roman" w:hAnsi="Times New Roman"/>
          <w:sz w:val="28"/>
          <w:szCs w:val="28"/>
        </w:rPr>
        <w:t>[</w:t>
      </w:r>
      <w:r w:rsidRPr="00292340">
        <w:rPr>
          <w:rFonts w:ascii="Times New Roman" w:hAnsi="Times New Roman"/>
          <w:sz w:val="28"/>
          <w:szCs w:val="28"/>
          <w:lang w:val="uk-UA"/>
        </w:rPr>
        <w:t>Електронний ресурс</w:t>
      </w:r>
      <w:r w:rsidRPr="00292340">
        <w:rPr>
          <w:rFonts w:ascii="Times New Roman" w:hAnsi="Times New Roman"/>
          <w:sz w:val="28"/>
          <w:szCs w:val="28"/>
        </w:rPr>
        <w:t>]</w:t>
      </w:r>
      <w:r w:rsidRPr="00292340">
        <w:rPr>
          <w:rFonts w:ascii="Times New Roman" w:hAnsi="Times New Roman"/>
          <w:sz w:val="28"/>
          <w:szCs w:val="28"/>
          <w:lang w:val="uk-UA"/>
        </w:rPr>
        <w:t xml:space="preserve">. – Режим доступу: </w:t>
      </w:r>
      <w:hyperlink r:id="rId8" w:history="1">
        <w:r w:rsidRPr="0029234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http://www.rusnauka.com/25_DN_2008/Economics/28929.doc.htm</w:t>
        </w:r>
      </w:hyperlink>
    </w:p>
    <w:p w:rsidR="007F055E" w:rsidRPr="00292340" w:rsidRDefault="007F055E" w:rsidP="0029234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92340">
        <w:rPr>
          <w:rFonts w:ascii="Times New Roman" w:hAnsi="Times New Roman"/>
          <w:sz w:val="28"/>
          <w:szCs w:val="28"/>
          <w:lang w:val="uk-UA"/>
        </w:rPr>
        <w:t>2. Галенко Н. О. Моделювання кризових ситуацій на світовому фондовому ринку в регіональному розрізі / Н. О. Галенко// Формування ринкових відносин в Україні. - № 8 (147). – 2013. - С. 14- 17</w:t>
      </w:r>
    </w:p>
    <w:p w:rsidR="007F055E" w:rsidRPr="00292340" w:rsidRDefault="007F055E" w:rsidP="00292340">
      <w:pPr>
        <w:pStyle w:val="Footnote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92340">
        <w:rPr>
          <w:rFonts w:ascii="Times New Roman" w:hAnsi="Times New Roman"/>
          <w:sz w:val="28"/>
          <w:szCs w:val="28"/>
          <w:lang w:val="uk-UA"/>
        </w:rPr>
        <w:t>3. Кобушко І. М. Роль фондового ринку України у формуванні інвестиційних ресурсів у сучасних умовах / І. М. Кобушко, Я. В. Кобушко// Вісник СумДУ. – Серія «Економіка». - № 3 (2012). – с. 182 – 185</w:t>
      </w:r>
    </w:p>
    <w:p w:rsidR="007F055E" w:rsidRPr="00292340" w:rsidRDefault="007F055E" w:rsidP="0029234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92340">
        <w:rPr>
          <w:rFonts w:ascii="Times New Roman" w:hAnsi="Times New Roman"/>
          <w:sz w:val="28"/>
          <w:szCs w:val="28"/>
          <w:lang w:val="uk-UA"/>
        </w:rPr>
        <w:t xml:space="preserve">4. Лисенко Ж. П. Фінансовий ринок України – стан, тренди та напрями розвитку/ Ж. П. Лисенко// </w:t>
      </w:r>
      <w:r w:rsidRPr="00292340">
        <w:rPr>
          <w:rFonts w:ascii="Times New Roman" w:hAnsi="Times New Roman"/>
          <w:sz w:val="28"/>
          <w:szCs w:val="28"/>
        </w:rPr>
        <w:t>[</w:t>
      </w:r>
      <w:r w:rsidRPr="00292340">
        <w:rPr>
          <w:rFonts w:ascii="Times New Roman" w:hAnsi="Times New Roman"/>
          <w:sz w:val="28"/>
          <w:szCs w:val="28"/>
          <w:lang w:val="uk-UA"/>
        </w:rPr>
        <w:t>Електронний ресурс</w:t>
      </w:r>
      <w:r w:rsidRPr="00292340">
        <w:rPr>
          <w:rFonts w:ascii="Times New Roman" w:hAnsi="Times New Roman"/>
          <w:sz w:val="28"/>
          <w:szCs w:val="28"/>
        </w:rPr>
        <w:t>]</w:t>
      </w:r>
      <w:r w:rsidRPr="00292340">
        <w:rPr>
          <w:rFonts w:ascii="Times New Roman" w:hAnsi="Times New Roman"/>
          <w:sz w:val="28"/>
          <w:szCs w:val="28"/>
          <w:lang w:val="uk-UA"/>
        </w:rPr>
        <w:t>. – Режим доступу: http://www.economy.nayka.com.ua/?op=1&amp;z=3126</w:t>
      </w:r>
    </w:p>
    <w:p w:rsidR="007F055E" w:rsidRPr="00292340" w:rsidRDefault="007F055E" w:rsidP="00292340">
      <w:pPr>
        <w:spacing w:after="0" w:line="360" w:lineRule="auto"/>
        <w:ind w:firstLine="709"/>
        <w:jc w:val="both"/>
        <w:rPr>
          <w:rStyle w:val="Hyperlink"/>
          <w:rFonts w:ascii="Times New Roman" w:hAnsi="Times New Roman"/>
          <w:color w:val="auto"/>
          <w:sz w:val="28"/>
          <w:szCs w:val="28"/>
          <w:u w:val="none"/>
          <w:lang w:val="uk-UA"/>
        </w:rPr>
      </w:pPr>
      <w:r w:rsidRPr="00292340">
        <w:rPr>
          <w:rFonts w:ascii="Times New Roman" w:hAnsi="Times New Roman"/>
          <w:sz w:val="28"/>
          <w:szCs w:val="28"/>
          <w:lang w:val="uk-UA"/>
        </w:rPr>
        <w:t xml:space="preserve">5. </w:t>
      </w:r>
      <w:r w:rsidRPr="00292340">
        <w:rPr>
          <w:rStyle w:val="9"/>
          <w:rFonts w:ascii="Times New Roman" w:hAnsi="Times New Roman" w:cs="Times New Roman"/>
          <w:sz w:val="28"/>
          <w:szCs w:val="28"/>
          <w:lang w:val="uk-UA" w:eastAsia="uk-UA"/>
        </w:rPr>
        <w:t xml:space="preserve">Офіційний сайт Національної комісії з цінних паперів та фондового ринку [Електронний ресурс]. - Режим доступу: </w:t>
      </w:r>
      <w:hyperlink r:id="rId9" w:history="1">
        <w:r w:rsidRPr="0029234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29234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29234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ssmsc</w:t>
        </w:r>
        <w:r w:rsidRPr="0029234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29234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gov</w:t>
        </w:r>
        <w:r w:rsidRPr="0029234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29234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ua</w:t>
        </w:r>
      </w:hyperlink>
    </w:p>
    <w:p w:rsidR="007F055E" w:rsidRPr="00292340" w:rsidRDefault="007F055E" w:rsidP="00292340">
      <w:pPr>
        <w:spacing w:after="0" w:line="360" w:lineRule="auto"/>
        <w:ind w:firstLine="709"/>
        <w:jc w:val="both"/>
        <w:rPr>
          <w:rStyle w:val="Hyperlink"/>
          <w:rFonts w:ascii="Times New Roman" w:hAnsi="Times New Roman"/>
          <w:color w:val="auto"/>
          <w:sz w:val="28"/>
          <w:szCs w:val="28"/>
          <w:u w:val="none"/>
          <w:lang w:val="uk-UA"/>
        </w:rPr>
      </w:pPr>
      <w:r w:rsidRPr="00292340">
        <w:rPr>
          <w:rFonts w:ascii="Times New Roman" w:hAnsi="Times New Roman"/>
          <w:sz w:val="28"/>
          <w:szCs w:val="28"/>
          <w:lang w:val="uk-UA"/>
        </w:rPr>
        <w:t xml:space="preserve">6. </w:t>
      </w:r>
      <w:r w:rsidRPr="00292340">
        <w:rPr>
          <w:rStyle w:val="9"/>
          <w:rFonts w:ascii="Times New Roman" w:hAnsi="Times New Roman" w:cs="Times New Roman"/>
          <w:sz w:val="28"/>
          <w:szCs w:val="28"/>
          <w:lang w:eastAsia="uk-UA"/>
        </w:rPr>
        <w:t>Офіційний сайт Фондовоїбіржі ПФТС [</w:t>
      </w:r>
      <w:r w:rsidRPr="00292340">
        <w:rPr>
          <w:rStyle w:val="9"/>
          <w:rFonts w:ascii="Times New Roman" w:hAnsi="Times New Roman" w:cs="Times New Roman"/>
          <w:sz w:val="28"/>
          <w:szCs w:val="28"/>
          <w:lang w:val="uk-UA" w:eastAsia="uk-UA"/>
        </w:rPr>
        <w:t>Електронний ресурс</w:t>
      </w:r>
      <w:r w:rsidRPr="00292340">
        <w:rPr>
          <w:rStyle w:val="9"/>
          <w:rFonts w:ascii="Times New Roman" w:hAnsi="Times New Roman" w:cs="Times New Roman"/>
          <w:sz w:val="28"/>
          <w:szCs w:val="28"/>
          <w:lang w:eastAsia="uk-UA"/>
        </w:rPr>
        <w:t>]</w:t>
      </w:r>
      <w:r w:rsidRPr="00292340">
        <w:rPr>
          <w:rStyle w:val="9"/>
          <w:rFonts w:ascii="Times New Roman" w:hAnsi="Times New Roman" w:cs="Times New Roman"/>
          <w:sz w:val="28"/>
          <w:szCs w:val="28"/>
          <w:lang w:val="uk-UA" w:eastAsia="uk-UA"/>
        </w:rPr>
        <w:t xml:space="preserve">. – </w:t>
      </w:r>
      <w:r w:rsidRPr="00292340">
        <w:rPr>
          <w:rStyle w:val="9"/>
          <w:rFonts w:ascii="Times New Roman" w:hAnsi="Times New Roman" w:cs="Times New Roman"/>
          <w:sz w:val="28"/>
          <w:szCs w:val="28"/>
          <w:lang w:eastAsia="uk-UA"/>
        </w:rPr>
        <w:t xml:space="preserve">Режим доступу: </w:t>
      </w:r>
      <w:hyperlink r:id="rId10" w:history="1">
        <w:r w:rsidRPr="0029234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29234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29234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pfts</w:t>
        </w:r>
        <w:r w:rsidRPr="0029234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29234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com</w:t>
        </w:r>
        <w:r w:rsidRPr="0029234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r w:rsidRPr="0029234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uk</w:t>
        </w:r>
        <w:r w:rsidRPr="0029234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r w:rsidRPr="0029234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news</w:t>
        </w:r>
      </w:hyperlink>
    </w:p>
    <w:p w:rsidR="007F055E" w:rsidRDefault="007F055E" w:rsidP="00292340">
      <w:pPr>
        <w:pStyle w:val="FootnoteText"/>
        <w:spacing w:line="360" w:lineRule="auto"/>
        <w:ind w:firstLine="709"/>
        <w:jc w:val="both"/>
        <w:rPr>
          <w:rStyle w:val="9"/>
          <w:rFonts w:ascii="Times New Roman" w:hAnsi="Times New Roman" w:cs="Times New Roman"/>
          <w:sz w:val="28"/>
          <w:szCs w:val="28"/>
          <w:lang w:val="uk-UA" w:eastAsia="uk-UA"/>
        </w:rPr>
      </w:pPr>
      <w:r w:rsidRPr="00292340">
        <w:rPr>
          <w:rFonts w:ascii="Times New Roman" w:hAnsi="Times New Roman"/>
          <w:sz w:val="28"/>
          <w:szCs w:val="28"/>
          <w:lang w:val="uk-UA"/>
        </w:rPr>
        <w:t xml:space="preserve">7. </w:t>
      </w:r>
      <w:r w:rsidRPr="00292340">
        <w:rPr>
          <w:rStyle w:val="9"/>
          <w:rFonts w:ascii="Times New Roman" w:hAnsi="Times New Roman" w:cs="Times New Roman"/>
          <w:sz w:val="28"/>
          <w:szCs w:val="28"/>
          <w:lang w:eastAsia="uk-UA"/>
        </w:rPr>
        <w:t>Ткаченко С. С. Оцінка стану і перспективирозвитку фондового ринку України / С.С. Ткаченко // Вісник НБУ. - 201</w:t>
      </w:r>
      <w:r w:rsidRPr="00292340">
        <w:rPr>
          <w:rStyle w:val="9"/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Pr="00292340">
        <w:rPr>
          <w:rStyle w:val="9"/>
          <w:rFonts w:ascii="Times New Roman" w:hAnsi="Times New Roman" w:cs="Times New Roman"/>
          <w:sz w:val="28"/>
          <w:szCs w:val="28"/>
          <w:lang w:eastAsia="uk-UA"/>
        </w:rPr>
        <w:t>. - № 8. - С. 44-50.</w:t>
      </w:r>
    </w:p>
    <w:p w:rsidR="007F055E" w:rsidRPr="00A82A5B" w:rsidRDefault="007F055E" w:rsidP="00292340">
      <w:pPr>
        <w:pStyle w:val="FootnoteText"/>
        <w:spacing w:line="360" w:lineRule="auto"/>
        <w:ind w:firstLine="709"/>
        <w:jc w:val="both"/>
        <w:rPr>
          <w:rStyle w:val="9"/>
          <w:rFonts w:ascii="Times New Roman" w:hAnsi="Times New Roman" w:cs="Times New Roman"/>
          <w:sz w:val="28"/>
          <w:szCs w:val="28"/>
          <w:lang w:val="uk-UA" w:eastAsia="uk-UA"/>
        </w:rPr>
      </w:pPr>
    </w:p>
    <w:p w:rsidR="007F055E" w:rsidRDefault="007F055E" w:rsidP="00A82A5B">
      <w:pPr>
        <w:pStyle w:val="FootnoteText"/>
        <w:spacing w:line="360" w:lineRule="auto"/>
        <w:ind w:firstLine="709"/>
        <w:jc w:val="right"/>
        <w:rPr>
          <w:rStyle w:val="9"/>
          <w:rFonts w:ascii="Times New Roman" w:hAnsi="Times New Roman" w:cs="Times New Roman"/>
          <w:sz w:val="28"/>
          <w:szCs w:val="28"/>
          <w:lang w:val="uk-UA" w:eastAsia="uk-UA"/>
        </w:rPr>
      </w:pPr>
      <w:r w:rsidRPr="00A82A5B">
        <w:rPr>
          <w:rStyle w:val="9"/>
          <w:rFonts w:ascii="Times New Roman" w:hAnsi="Times New Roman" w:cs="Times New Roman"/>
          <w:b/>
          <w:sz w:val="28"/>
          <w:szCs w:val="28"/>
          <w:lang w:val="uk-UA" w:eastAsia="uk-UA"/>
        </w:rPr>
        <w:t>Науковий керівник:</w:t>
      </w:r>
      <w:r>
        <w:rPr>
          <w:rStyle w:val="9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7F055E" w:rsidRPr="00A82A5B" w:rsidRDefault="007F055E" w:rsidP="00A82A5B">
      <w:pPr>
        <w:pStyle w:val="FootnoteText"/>
        <w:spacing w:line="360" w:lineRule="auto"/>
        <w:ind w:firstLine="709"/>
        <w:jc w:val="right"/>
        <w:rPr>
          <w:rStyle w:val="9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9"/>
          <w:rFonts w:ascii="Times New Roman" w:hAnsi="Times New Roman" w:cs="Times New Roman"/>
          <w:sz w:val="28"/>
          <w:szCs w:val="28"/>
          <w:lang w:val="uk-UA" w:eastAsia="uk-UA"/>
        </w:rPr>
        <w:t>кандидат економічних наук, Вдовиченко Артем Миколайович.</w:t>
      </w:r>
    </w:p>
    <w:p w:rsidR="007F055E" w:rsidRPr="00B73CD8" w:rsidRDefault="007F055E" w:rsidP="00B73CD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055E" w:rsidRPr="00B73CD8" w:rsidRDefault="007F055E" w:rsidP="00637CD2">
      <w:pPr>
        <w:pStyle w:val="90"/>
        <w:shd w:val="clear" w:color="auto" w:fill="auto"/>
        <w:tabs>
          <w:tab w:val="left" w:pos="265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sectPr w:rsidR="007F055E" w:rsidRPr="00B73CD8" w:rsidSect="004C23E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55E" w:rsidRDefault="007F055E" w:rsidP="00637CD2">
      <w:pPr>
        <w:spacing w:after="0" w:line="240" w:lineRule="auto"/>
      </w:pPr>
      <w:r>
        <w:separator/>
      </w:r>
    </w:p>
  </w:endnote>
  <w:endnote w:type="continuationSeparator" w:id="1">
    <w:p w:rsidR="007F055E" w:rsidRDefault="007F055E" w:rsidP="00637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55E" w:rsidRDefault="007F055E" w:rsidP="00637CD2">
      <w:pPr>
        <w:spacing w:after="0" w:line="240" w:lineRule="auto"/>
      </w:pPr>
      <w:r>
        <w:separator/>
      </w:r>
    </w:p>
  </w:footnote>
  <w:footnote w:type="continuationSeparator" w:id="1">
    <w:p w:rsidR="007F055E" w:rsidRDefault="007F055E" w:rsidP="00637C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-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-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-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-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-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-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-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-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5A08"/>
    <w:rsid w:val="00037939"/>
    <w:rsid w:val="00053CD6"/>
    <w:rsid w:val="00060375"/>
    <w:rsid w:val="000A28DA"/>
    <w:rsid w:val="0017043D"/>
    <w:rsid w:val="00292340"/>
    <w:rsid w:val="00421D2D"/>
    <w:rsid w:val="00435A08"/>
    <w:rsid w:val="0048169C"/>
    <w:rsid w:val="004C23EA"/>
    <w:rsid w:val="005E1648"/>
    <w:rsid w:val="00637CD2"/>
    <w:rsid w:val="00746A61"/>
    <w:rsid w:val="007F055E"/>
    <w:rsid w:val="00824639"/>
    <w:rsid w:val="00926AFE"/>
    <w:rsid w:val="00943A62"/>
    <w:rsid w:val="00953BF9"/>
    <w:rsid w:val="00A02C1F"/>
    <w:rsid w:val="00A82A5B"/>
    <w:rsid w:val="00AE67DE"/>
    <w:rsid w:val="00B023C7"/>
    <w:rsid w:val="00B22C5E"/>
    <w:rsid w:val="00B73CD8"/>
    <w:rsid w:val="00C06BFD"/>
    <w:rsid w:val="00C2077B"/>
    <w:rsid w:val="00C4427C"/>
    <w:rsid w:val="00C75D1B"/>
    <w:rsid w:val="00CF06CD"/>
    <w:rsid w:val="00D40BFA"/>
    <w:rsid w:val="00D77B3B"/>
    <w:rsid w:val="00D87388"/>
    <w:rsid w:val="00DE5E39"/>
    <w:rsid w:val="00E46532"/>
    <w:rsid w:val="00EB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939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637CD2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637CD2"/>
    <w:rPr>
      <w:rFonts w:eastAsia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637CD2"/>
    <w:rPr>
      <w:rFonts w:cs="Times New Roman"/>
      <w:vertAlign w:val="superscript"/>
    </w:rPr>
  </w:style>
  <w:style w:type="character" w:customStyle="1" w:styleId="apple-converted-space">
    <w:name w:val="apple-converted-space"/>
    <w:basedOn w:val="DefaultParagraphFont"/>
    <w:uiPriority w:val="99"/>
    <w:rsid w:val="00637CD2"/>
    <w:rPr>
      <w:rFonts w:cs="Times New Roman"/>
    </w:rPr>
  </w:style>
  <w:style w:type="character" w:styleId="Hyperlink">
    <w:name w:val="Hyperlink"/>
    <w:basedOn w:val="DefaultParagraphFont"/>
    <w:uiPriority w:val="99"/>
    <w:rsid w:val="00637CD2"/>
    <w:rPr>
      <w:rFonts w:cs="Times New Roman"/>
      <w:color w:val="0000FF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637CD2"/>
    <w:rPr>
      <w:rFonts w:ascii="Bookman Old Style" w:hAnsi="Bookman Old Style" w:cs="Bookman Old Style"/>
      <w:sz w:val="19"/>
      <w:szCs w:val="19"/>
      <w:shd w:val="clear" w:color="auto" w:fill="FFFFFF"/>
    </w:rPr>
  </w:style>
  <w:style w:type="character" w:customStyle="1" w:styleId="a">
    <w:name w:val="Подпись к таблице_"/>
    <w:basedOn w:val="DefaultParagraphFont"/>
    <w:link w:val="a0"/>
    <w:uiPriority w:val="99"/>
    <w:locked/>
    <w:rsid w:val="00637CD2"/>
    <w:rPr>
      <w:rFonts w:ascii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28pt">
    <w:name w:val="Основной текст (2) + 8 pt"/>
    <w:basedOn w:val="2"/>
    <w:uiPriority w:val="99"/>
    <w:rsid w:val="00637CD2"/>
    <w:rPr>
      <w:sz w:val="16"/>
      <w:szCs w:val="16"/>
    </w:rPr>
  </w:style>
  <w:style w:type="paragraph" w:customStyle="1" w:styleId="20">
    <w:name w:val="Основной текст (2)"/>
    <w:basedOn w:val="Normal"/>
    <w:link w:val="2"/>
    <w:uiPriority w:val="99"/>
    <w:rsid w:val="00637CD2"/>
    <w:pPr>
      <w:widowControl w:val="0"/>
      <w:shd w:val="clear" w:color="auto" w:fill="FFFFFF"/>
      <w:spacing w:after="180" w:line="240" w:lineRule="atLeast"/>
    </w:pPr>
    <w:rPr>
      <w:rFonts w:ascii="Bookman Old Style" w:hAnsi="Bookman Old Style" w:cs="Bookman Old Style"/>
      <w:sz w:val="19"/>
      <w:szCs w:val="19"/>
    </w:rPr>
  </w:style>
  <w:style w:type="paragraph" w:customStyle="1" w:styleId="a0">
    <w:name w:val="Подпись к таблице"/>
    <w:basedOn w:val="Normal"/>
    <w:link w:val="a"/>
    <w:uiPriority w:val="99"/>
    <w:rsid w:val="00637CD2"/>
    <w:pPr>
      <w:widowControl w:val="0"/>
      <w:shd w:val="clear" w:color="auto" w:fill="FFFFFF"/>
      <w:spacing w:after="0" w:line="235" w:lineRule="exact"/>
      <w:ind w:hanging="1720"/>
    </w:pPr>
    <w:rPr>
      <w:rFonts w:ascii="Bookman Old Style" w:hAnsi="Bookman Old Style" w:cs="Bookman Old Style"/>
      <w:i/>
      <w:iCs/>
      <w:sz w:val="19"/>
      <w:szCs w:val="19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637CD2"/>
    <w:rPr>
      <w:rFonts w:ascii="Bookman Old Style" w:hAnsi="Bookman Old Style" w:cs="Bookman Old Style"/>
      <w:sz w:val="15"/>
      <w:szCs w:val="15"/>
      <w:shd w:val="clear" w:color="auto" w:fill="FFFFFF"/>
    </w:rPr>
  </w:style>
  <w:style w:type="paragraph" w:customStyle="1" w:styleId="90">
    <w:name w:val="Основной текст (9)"/>
    <w:basedOn w:val="Normal"/>
    <w:link w:val="9"/>
    <w:uiPriority w:val="99"/>
    <w:rsid w:val="00637CD2"/>
    <w:pPr>
      <w:widowControl w:val="0"/>
      <w:shd w:val="clear" w:color="auto" w:fill="FFFFFF"/>
      <w:spacing w:after="0" w:line="173" w:lineRule="exact"/>
      <w:ind w:hanging="320"/>
    </w:pPr>
    <w:rPr>
      <w:rFonts w:ascii="Bookman Old Style" w:hAnsi="Bookman Old Style" w:cs="Bookman Old Style"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nauka.com/25_DN_2008/Economics/28929.doc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smsc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pfts.com/uk/new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smsc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7</Pages>
  <Words>7732</Words>
  <Characters>4408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2015-02-22T20:43:00Z</dcterms:created>
  <dcterms:modified xsi:type="dcterms:W3CDTF">2015-02-25T20:36:00Z</dcterms:modified>
</cp:coreProperties>
</file>