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AD4" w:rsidRPr="00F2674A" w:rsidRDefault="00485AD4" w:rsidP="00F84ACD">
      <w:pPr>
        <w:spacing w:line="360" w:lineRule="auto"/>
        <w:ind w:firstLine="567"/>
        <w:jc w:val="right"/>
        <w:rPr>
          <w:b/>
          <w:color w:val="000000"/>
          <w:sz w:val="28"/>
          <w:szCs w:val="28"/>
        </w:rPr>
      </w:pPr>
      <w:r w:rsidRPr="00F2674A">
        <w:rPr>
          <w:b/>
          <w:color w:val="000000"/>
          <w:sz w:val="28"/>
          <w:szCs w:val="28"/>
        </w:rPr>
        <w:t>Альона Галичанська</w:t>
      </w:r>
    </w:p>
    <w:p w:rsidR="00485AD4" w:rsidRPr="00F2674A" w:rsidRDefault="00485AD4" w:rsidP="00F84ACD">
      <w:pPr>
        <w:spacing w:line="360" w:lineRule="auto"/>
        <w:ind w:firstLine="567"/>
        <w:jc w:val="right"/>
        <w:rPr>
          <w:b/>
          <w:color w:val="000000"/>
          <w:sz w:val="28"/>
          <w:szCs w:val="28"/>
        </w:rPr>
      </w:pPr>
      <w:r w:rsidRPr="00F2674A">
        <w:rPr>
          <w:b/>
          <w:color w:val="000000"/>
          <w:sz w:val="28"/>
          <w:szCs w:val="28"/>
        </w:rPr>
        <w:t>(Чернівці, Україна)</w:t>
      </w:r>
    </w:p>
    <w:p w:rsidR="00485AD4" w:rsidRPr="00D91963" w:rsidRDefault="00485AD4" w:rsidP="00F84ACD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485AD4" w:rsidRDefault="00485AD4" w:rsidP="00F84ACD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D9196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СОБЛИВОСТІ ФОРМУВАННЯ МІЖПОКОЛІННОЇ ТОЛЕРАНТНОСТІ У ПІДЛІТ</w:t>
      </w:r>
      <w:r>
        <w:rPr>
          <w:b/>
          <w:sz w:val="28"/>
          <w:szCs w:val="28"/>
          <w:lang w:val="ru-RU"/>
        </w:rPr>
        <w:t>К</w:t>
      </w:r>
      <w:r w:rsidRPr="00D91963">
        <w:rPr>
          <w:b/>
          <w:sz w:val="28"/>
          <w:szCs w:val="28"/>
        </w:rPr>
        <w:t xml:space="preserve">ІВ </w:t>
      </w:r>
    </w:p>
    <w:p w:rsidR="00485AD4" w:rsidRDefault="00485AD4" w:rsidP="00F84ACD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485AD4" w:rsidRPr="003D1B56" w:rsidRDefault="00485AD4" w:rsidP="009535FF">
      <w:pPr>
        <w:spacing w:line="36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3D1B56">
        <w:rPr>
          <w:sz w:val="28"/>
          <w:szCs w:val="28"/>
        </w:rPr>
        <w:t>Наявність великого обсягу дослідницької літератури і різноманіття існуючих підходів до р</w:t>
      </w:r>
      <w:r>
        <w:rPr>
          <w:sz w:val="28"/>
          <w:szCs w:val="28"/>
        </w:rPr>
        <w:t>озгляду міжпоколінних взаємодій</w:t>
      </w:r>
      <w:r w:rsidRPr="003D1B56">
        <w:rPr>
          <w:sz w:val="28"/>
          <w:szCs w:val="28"/>
        </w:rPr>
        <w:t xml:space="preserve"> свідчить про актуальність даної проблематики, з одного боку, і відсутності завершеної </w:t>
      </w:r>
      <w:r w:rsidRPr="002A26AB">
        <w:rPr>
          <w:sz w:val="28"/>
          <w:szCs w:val="28"/>
        </w:rPr>
        <w:t xml:space="preserve">методологічної основи досліджуваної теми, з іншого. </w:t>
      </w:r>
    </w:p>
    <w:p w:rsidR="00485AD4" w:rsidRPr="003D1B56" w:rsidRDefault="00485AD4" w:rsidP="00F84ACD">
      <w:pPr>
        <w:spacing w:line="360" w:lineRule="auto"/>
        <w:ind w:firstLine="567"/>
        <w:jc w:val="both"/>
        <w:rPr>
          <w:sz w:val="28"/>
          <w:szCs w:val="28"/>
        </w:rPr>
      </w:pPr>
      <w:r w:rsidRPr="003D1B56">
        <w:rPr>
          <w:sz w:val="28"/>
          <w:szCs w:val="28"/>
        </w:rPr>
        <w:t xml:space="preserve">В сучасній літературі </w:t>
      </w:r>
      <w:r>
        <w:rPr>
          <w:sz w:val="28"/>
          <w:szCs w:val="28"/>
        </w:rPr>
        <w:t>з</w:t>
      </w:r>
      <w:r w:rsidRPr="003D1B56">
        <w:rPr>
          <w:sz w:val="28"/>
          <w:szCs w:val="28"/>
        </w:rPr>
        <w:t xml:space="preserve"> проблем взаємостосунків поколінь переважають дв</w:t>
      </w:r>
      <w:r>
        <w:rPr>
          <w:sz w:val="28"/>
          <w:szCs w:val="28"/>
        </w:rPr>
        <w:t>а погляди</w:t>
      </w:r>
      <w:r w:rsidRPr="003D1B56">
        <w:rPr>
          <w:sz w:val="28"/>
          <w:szCs w:val="28"/>
        </w:rPr>
        <w:t xml:space="preserve">. Одні автори обґрунтовують ідею глобального загального розриву між </w:t>
      </w:r>
      <w:r w:rsidRPr="00F84ACD">
        <w:rPr>
          <w:sz w:val="28"/>
          <w:szCs w:val="28"/>
        </w:rPr>
        <w:t xml:space="preserve">поколіннями, який постійно збільшується (М. Мід) </w:t>
      </w:r>
      <w:r w:rsidRPr="00F84ACD">
        <w:rPr>
          <w:sz w:val="28"/>
          <w:szCs w:val="28"/>
          <w:lang w:val="ru-RU"/>
        </w:rPr>
        <w:t>[4]</w:t>
      </w:r>
      <w:r w:rsidRPr="00F84ACD">
        <w:rPr>
          <w:sz w:val="28"/>
          <w:szCs w:val="28"/>
        </w:rPr>
        <w:t>. Інші підкреслюють маятниковий характер міжпоколінних взаємостосунків (періоди конфліктів чергують з періодами спадкоємності (Х. Ортега-Гассет,) [5]. Історичному аспекту розвитку взаємин між поколіннями присвячені роботи А.</w:t>
      </w:r>
      <w:r w:rsidRPr="00F84ACD">
        <w:rPr>
          <w:sz w:val="28"/>
          <w:szCs w:val="28"/>
          <w:lang w:val="en-US"/>
        </w:rPr>
        <w:t> </w:t>
      </w:r>
      <w:r w:rsidRPr="00F84ACD">
        <w:rPr>
          <w:sz w:val="28"/>
          <w:szCs w:val="28"/>
        </w:rPr>
        <w:t>Афанасьєвої, М.</w:t>
      </w:r>
      <w:r w:rsidRPr="00F84ACD">
        <w:rPr>
          <w:sz w:val="28"/>
          <w:szCs w:val="28"/>
          <w:lang w:val="en-US"/>
        </w:rPr>
        <w:t> </w:t>
      </w:r>
      <w:r w:rsidRPr="00F84ACD">
        <w:rPr>
          <w:sz w:val="28"/>
          <w:szCs w:val="28"/>
        </w:rPr>
        <w:t>Мід, А.</w:t>
      </w:r>
      <w:r w:rsidRPr="00F84ACD">
        <w:rPr>
          <w:sz w:val="28"/>
          <w:szCs w:val="28"/>
          <w:lang w:val="en-US"/>
        </w:rPr>
        <w:t> </w:t>
      </w:r>
      <w:r w:rsidRPr="00F84ACD">
        <w:rPr>
          <w:sz w:val="28"/>
          <w:szCs w:val="28"/>
        </w:rPr>
        <w:t>Толстих. За останні десятиріччя з'явилась значна кількість досліджень, в центрі уваги яких був "конфлікт поколінь", "розрив поколінь" (Т.</w:t>
      </w:r>
      <w:r w:rsidRPr="00F84ACD">
        <w:rPr>
          <w:sz w:val="28"/>
          <w:szCs w:val="28"/>
          <w:lang w:val="en-US"/>
        </w:rPr>
        <w:t> </w:t>
      </w:r>
      <w:r w:rsidRPr="00F84ACD">
        <w:rPr>
          <w:sz w:val="28"/>
          <w:szCs w:val="28"/>
        </w:rPr>
        <w:t>Андрєєва, М.</w:t>
      </w:r>
      <w:r w:rsidRPr="00F84ACD">
        <w:rPr>
          <w:sz w:val="28"/>
          <w:szCs w:val="28"/>
          <w:lang w:val="en-US"/>
        </w:rPr>
        <w:t> </w:t>
      </w:r>
      <w:r w:rsidRPr="00F84ACD">
        <w:rPr>
          <w:sz w:val="28"/>
          <w:szCs w:val="28"/>
        </w:rPr>
        <w:t>Вдовина, Л.</w:t>
      </w:r>
      <w:r w:rsidRPr="00F84ACD">
        <w:rPr>
          <w:sz w:val="28"/>
          <w:szCs w:val="28"/>
          <w:lang w:val="en-US"/>
        </w:rPr>
        <w:t> </w:t>
      </w:r>
      <w:r w:rsidRPr="00F84ACD">
        <w:rPr>
          <w:sz w:val="28"/>
          <w:szCs w:val="28"/>
        </w:rPr>
        <w:t>Регуш, Л.</w:t>
      </w:r>
      <w:r w:rsidRPr="00F84ACD">
        <w:rPr>
          <w:sz w:val="28"/>
          <w:szCs w:val="28"/>
          <w:lang w:val="en-US"/>
        </w:rPr>
        <w:t> </w:t>
      </w:r>
      <w:r w:rsidRPr="00F84ACD">
        <w:rPr>
          <w:sz w:val="28"/>
          <w:szCs w:val="28"/>
        </w:rPr>
        <w:t>Торнстон). Так, Л.</w:t>
      </w:r>
      <w:r w:rsidRPr="00F84ACD">
        <w:rPr>
          <w:sz w:val="28"/>
          <w:szCs w:val="28"/>
          <w:lang w:val="en-US"/>
        </w:rPr>
        <w:t> </w:t>
      </w:r>
      <w:r w:rsidRPr="00F84ACD">
        <w:rPr>
          <w:sz w:val="28"/>
          <w:szCs w:val="28"/>
        </w:rPr>
        <w:t xml:space="preserve">Торнстон вважав, що «міжпоколінний конфлікт» є  універсальною темою людської історії, він ґрунтується на початкових рисах людської природи і є, можливо, навіть більш важливою рушійною силою історії, ніж класова боротьба [6]. Тоді як психоаналітики </w:t>
      </w:r>
      <w:r w:rsidRPr="003D1B56">
        <w:rPr>
          <w:sz w:val="28"/>
          <w:szCs w:val="28"/>
        </w:rPr>
        <w:t>вважають, що в основі конфлікту поколінь лежить одвічне суперн</w:t>
      </w:r>
      <w:r>
        <w:rPr>
          <w:sz w:val="28"/>
          <w:szCs w:val="28"/>
        </w:rPr>
        <w:t>ицтво між батьком і сином (Едипі</w:t>
      </w:r>
      <w:r w:rsidRPr="003D1B56">
        <w:rPr>
          <w:sz w:val="28"/>
          <w:szCs w:val="28"/>
        </w:rPr>
        <w:t xml:space="preserve">в комплекс), матері і дочки (комплекс Електри). Хлопець не просто змагається з батьком, але і </w:t>
      </w:r>
      <w:r w:rsidRPr="00F84ACD">
        <w:rPr>
          <w:sz w:val="28"/>
          <w:szCs w:val="28"/>
        </w:rPr>
        <w:t xml:space="preserve">відкидає його як зразок, відмовляється від свого соціокультурного спадку[7]. </w:t>
      </w:r>
      <w:r w:rsidRPr="003D1B56">
        <w:rPr>
          <w:sz w:val="28"/>
          <w:szCs w:val="28"/>
        </w:rPr>
        <w:t xml:space="preserve">Представники авангардизму вбачають в молодіжній контркультурі єдино надійну, ефективну, радикальну опозицію відносно всього застійного, консервативного в суспільстві. Всі ці пояснення єства конфлікту поколінь, а також суб'єктивні оцінки молоді, яка схильна перебільшувати ступінь своїх відмінностей від старших, повинні бути доповнені аналізом об'єктивно існуючих відмінностей та їх причин. </w:t>
      </w:r>
    </w:p>
    <w:p w:rsidR="00485AD4" w:rsidRPr="003D1B56" w:rsidRDefault="00485AD4" w:rsidP="00F84AC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Серед механізмів, які позитивно впливають на міжпоколінну взаємодію у сім’ї варто виокремити толерантність, як складову готовності до міжпоколінної взаємодії. </w:t>
      </w:r>
      <w:r w:rsidRPr="003D1B56">
        <w:rPr>
          <w:sz w:val="28"/>
          <w:szCs w:val="28"/>
        </w:rPr>
        <w:t xml:space="preserve">Торкнувшись поняття «толерантність» звернемо увагу на те, що толерантність підлітка </w:t>
      </w:r>
      <w:r>
        <w:rPr>
          <w:sz w:val="28"/>
          <w:szCs w:val="28"/>
        </w:rPr>
        <w:t xml:space="preserve">і толерантність дорослої людини, на думку В. Зінченка, </w:t>
      </w:r>
      <w:r w:rsidRPr="003D1B56">
        <w:rPr>
          <w:sz w:val="28"/>
          <w:szCs w:val="28"/>
        </w:rPr>
        <w:t xml:space="preserve">мають принципово різне психологічне </w:t>
      </w:r>
      <w:r w:rsidRPr="00F84ACD">
        <w:rPr>
          <w:sz w:val="28"/>
          <w:szCs w:val="28"/>
        </w:rPr>
        <w:t xml:space="preserve">значення [3]. Якщо </w:t>
      </w:r>
      <w:r w:rsidRPr="003D1B56">
        <w:rPr>
          <w:sz w:val="28"/>
          <w:szCs w:val="28"/>
        </w:rPr>
        <w:t xml:space="preserve">для дорослої людини є чітке уявлення, що толерантність – це добре, а інтолерантність – це погано, для підлітка не існує такої чіткої градації, оскільки підлітки орієнтовані на умовну класифікацію людей на «своїх» та «чужих».  </w:t>
      </w:r>
    </w:p>
    <w:p w:rsidR="00485AD4" w:rsidRPr="00F84ACD" w:rsidRDefault="00485AD4" w:rsidP="00F84AC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Також в русл</w:t>
      </w:r>
      <w:r>
        <w:rPr>
          <w:sz w:val="28"/>
          <w:szCs w:val="28"/>
        </w:rPr>
        <w:t>і дослідження толерантності</w:t>
      </w:r>
      <w:r w:rsidRPr="003D1B56">
        <w:rPr>
          <w:sz w:val="28"/>
          <w:szCs w:val="28"/>
        </w:rPr>
        <w:t xml:space="preserve"> варто звернути увагу на </w:t>
      </w:r>
      <w:r>
        <w:rPr>
          <w:sz w:val="28"/>
          <w:szCs w:val="28"/>
        </w:rPr>
        <w:t>ідеї</w:t>
      </w:r>
      <w:r w:rsidRPr="003D1B56">
        <w:rPr>
          <w:sz w:val="28"/>
          <w:szCs w:val="28"/>
        </w:rPr>
        <w:t xml:space="preserve"> О.</w:t>
      </w:r>
      <w:r>
        <w:rPr>
          <w:sz w:val="28"/>
          <w:szCs w:val="28"/>
        </w:rPr>
        <w:t> </w:t>
      </w:r>
      <w:r w:rsidRPr="003D1B56">
        <w:rPr>
          <w:sz w:val="28"/>
          <w:szCs w:val="28"/>
        </w:rPr>
        <w:t xml:space="preserve">Гриви, </w:t>
      </w:r>
      <w:r>
        <w:rPr>
          <w:sz w:val="28"/>
          <w:szCs w:val="28"/>
        </w:rPr>
        <w:t xml:space="preserve">С. Жукової, Є. Пєтрової, Л. Семенюк, </w:t>
      </w:r>
      <w:r w:rsidRPr="00C27CCD">
        <w:rPr>
          <w:sz w:val="28"/>
          <w:szCs w:val="28"/>
        </w:rPr>
        <w:t xml:space="preserve">В. Собкіна. </w:t>
      </w:r>
      <w:r w:rsidRPr="003D1B56">
        <w:rPr>
          <w:sz w:val="28"/>
          <w:szCs w:val="28"/>
        </w:rPr>
        <w:t>О.</w:t>
      </w:r>
      <w:r>
        <w:rPr>
          <w:sz w:val="28"/>
          <w:szCs w:val="28"/>
        </w:rPr>
        <w:t> </w:t>
      </w:r>
      <w:r w:rsidRPr="003D1B56">
        <w:rPr>
          <w:sz w:val="28"/>
          <w:szCs w:val="28"/>
        </w:rPr>
        <w:t xml:space="preserve">Грива, враховуючи різні особливості сприймання терміну «толерантність» розглядає </w:t>
      </w:r>
      <w:r w:rsidRPr="00F84ACD">
        <w:rPr>
          <w:sz w:val="28"/>
          <w:szCs w:val="28"/>
        </w:rPr>
        <w:t>толерантність як активну, сенсоутворюючу позицію, яка проявляється  в поведінці та діяльності у повазі й визнанні рівності, відмові від до</w:t>
      </w:r>
      <w:r>
        <w:rPr>
          <w:sz w:val="28"/>
          <w:szCs w:val="28"/>
        </w:rPr>
        <w:t>мінування і насильства, визнанні</w:t>
      </w:r>
      <w:r w:rsidRPr="00F84ACD">
        <w:rPr>
          <w:sz w:val="28"/>
          <w:szCs w:val="28"/>
        </w:rPr>
        <w:t xml:space="preserve"> багатомірності і різноманіття людської куль</w:t>
      </w:r>
      <w:r>
        <w:rPr>
          <w:sz w:val="28"/>
          <w:szCs w:val="28"/>
        </w:rPr>
        <w:t>тури, норм, вірувань та</w:t>
      </w:r>
      <w:r w:rsidRPr="00F84ACD">
        <w:rPr>
          <w:sz w:val="28"/>
          <w:szCs w:val="28"/>
        </w:rPr>
        <w:t xml:space="preserve"> відмова від зведення цього різноманіття до однієї точки зору [1]. Поняття толерантності, як якості особистості є досить умовним. Доречніше говорити про певну спрямованість особи</w:t>
      </w:r>
      <w:r>
        <w:rPr>
          <w:sz w:val="28"/>
          <w:szCs w:val="28"/>
        </w:rPr>
        <w:t>стості</w:t>
      </w:r>
      <w:r w:rsidRPr="00F84ACD">
        <w:rPr>
          <w:sz w:val="28"/>
          <w:szCs w:val="28"/>
        </w:rPr>
        <w:t xml:space="preserve"> - толерантну та інтолерантну. Так, більшість дослідників даного напрямку, таких як: С. Жукова, Є. Пєтрова, виокремлюють критерії толерантності [2]. Проаналізувавши критерії, можна більш чітко визначити задачі формування толерантності особистості.</w:t>
      </w:r>
    </w:p>
    <w:p w:rsidR="00485AD4" w:rsidRPr="003D1B56" w:rsidRDefault="00485AD4" w:rsidP="00F84ACD">
      <w:pPr>
        <w:spacing w:line="360" w:lineRule="auto"/>
        <w:ind w:firstLine="567"/>
        <w:jc w:val="both"/>
        <w:rPr>
          <w:sz w:val="28"/>
          <w:szCs w:val="28"/>
        </w:rPr>
      </w:pPr>
      <w:r w:rsidRPr="00F84ACD">
        <w:rPr>
          <w:sz w:val="28"/>
          <w:szCs w:val="28"/>
        </w:rPr>
        <w:t xml:space="preserve">Спираючись на класифікацію О. Гриви [1] щодо розуміння толерантності – інтолерантності виокремимо аспекти </w:t>
      </w:r>
      <w:r w:rsidRPr="003D1B56">
        <w:rPr>
          <w:sz w:val="28"/>
          <w:szCs w:val="28"/>
        </w:rPr>
        <w:t>формування толерантності.</w:t>
      </w:r>
      <w:r>
        <w:rPr>
          <w:sz w:val="28"/>
          <w:szCs w:val="28"/>
        </w:rPr>
        <w:t xml:space="preserve"> </w:t>
      </w:r>
      <w:r w:rsidRPr="003D1B56">
        <w:rPr>
          <w:sz w:val="28"/>
          <w:szCs w:val="28"/>
        </w:rPr>
        <w:t>Аксіологічна складова: цінність особистості і культури в межах передачі традицій та засвоєного досвіду як соціального феномену; паритетні, взаємоповажливі відносини між представниками різних поколінь в сім’ї; соціальна відповідальність за свої слова і вчинки; подолання стереотипів,  деструктивних сценаріїв, руйнівних традицій, упереджень; подолання негативізму, тривожності, упередженості, агресії в межах понятійного апарату підлітків. Інструментальна складова: паритетне спілкування із представниками інших поколінь;відкритість до контакту та взаємодії із представниками інших поколінь,  вміння здійснювати комунікацію на основі поваги; діяти в умовах полікультурного світу, в умовах гетерогенних груп; толерантно мислити при взаємодії із дорослими, здійснювати саморегуляцію.</w:t>
      </w:r>
      <w:r>
        <w:rPr>
          <w:sz w:val="28"/>
          <w:szCs w:val="28"/>
        </w:rPr>
        <w:t xml:space="preserve"> </w:t>
      </w:r>
      <w:r w:rsidRPr="003D1B56">
        <w:rPr>
          <w:sz w:val="28"/>
          <w:szCs w:val="28"/>
        </w:rPr>
        <w:t xml:space="preserve">Якісна складова: терпіння; відсутність тривожності; емпатійність; критичність </w:t>
      </w:r>
      <w:r w:rsidRPr="00F84ACD">
        <w:rPr>
          <w:sz w:val="28"/>
          <w:szCs w:val="28"/>
        </w:rPr>
        <w:t>мислення; соціальна гнучкість; соціальна перцепція; емоційна стабільність; самостійність[1].</w:t>
      </w:r>
    </w:p>
    <w:p w:rsidR="00485AD4" w:rsidRPr="003D1B56" w:rsidRDefault="00485AD4" w:rsidP="00F84ACD">
      <w:pPr>
        <w:spacing w:line="360" w:lineRule="auto"/>
        <w:ind w:firstLine="567"/>
        <w:jc w:val="both"/>
        <w:rPr>
          <w:sz w:val="28"/>
          <w:szCs w:val="28"/>
        </w:rPr>
      </w:pPr>
      <w:r w:rsidRPr="003D1B56">
        <w:rPr>
          <w:sz w:val="28"/>
          <w:szCs w:val="28"/>
        </w:rPr>
        <w:t>В процесі формування толерантності</w:t>
      </w:r>
      <w:r>
        <w:rPr>
          <w:sz w:val="28"/>
          <w:szCs w:val="28"/>
        </w:rPr>
        <w:t xml:space="preserve"> міжпоколінної взаємодії</w:t>
      </w:r>
      <w:r w:rsidRPr="003D1B56">
        <w:rPr>
          <w:sz w:val="28"/>
          <w:szCs w:val="28"/>
        </w:rPr>
        <w:t xml:space="preserve"> у підлітків </w:t>
      </w:r>
      <w:r>
        <w:rPr>
          <w:sz w:val="28"/>
          <w:szCs w:val="28"/>
        </w:rPr>
        <w:t xml:space="preserve">варто розглянути </w:t>
      </w:r>
      <w:r w:rsidRPr="003D1B56">
        <w:rPr>
          <w:sz w:val="28"/>
          <w:szCs w:val="28"/>
        </w:rPr>
        <w:t>як сенсоутворюючі наступні критерії:толерантність у сприйманні традицій, норм і правил при передачі їх від представників старших поколінь;толерантність у самостійному творенні та готовність до співпраці;Оскільки ми вже зазначали, що поняття толерантності – інтолерантності досить умовне і не в повній мірі відображає особливості формування особистості підлітка й виокремлюється в умовах соціальної взаємодії ми виділимо характеристики толерантної та інтолерантної особистості і под</w:t>
      </w:r>
      <w:r>
        <w:rPr>
          <w:sz w:val="28"/>
          <w:szCs w:val="28"/>
        </w:rPr>
        <w:t>амо їх у таблиці. Див табл. 1.</w:t>
      </w:r>
    </w:p>
    <w:p w:rsidR="00485AD4" w:rsidRPr="003D1B56" w:rsidRDefault="00485AD4" w:rsidP="00F84ACD">
      <w:pPr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Таблиця 1.</w:t>
      </w:r>
    </w:p>
    <w:p w:rsidR="00485AD4" w:rsidRPr="003D1B56" w:rsidRDefault="00485AD4" w:rsidP="00F84ACD">
      <w:pPr>
        <w:spacing w:line="360" w:lineRule="auto"/>
        <w:ind w:firstLine="567"/>
        <w:jc w:val="center"/>
        <w:rPr>
          <w:sz w:val="28"/>
          <w:szCs w:val="28"/>
        </w:rPr>
      </w:pPr>
      <w:r w:rsidRPr="003D1B56">
        <w:rPr>
          <w:sz w:val="28"/>
          <w:szCs w:val="28"/>
        </w:rPr>
        <w:t>Характеристики толерантної та інтолерантної особистості</w:t>
      </w:r>
      <w:r>
        <w:rPr>
          <w:sz w:val="28"/>
          <w:szCs w:val="28"/>
        </w:rPr>
        <w:t xml:space="preserve"> підлітка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83"/>
        <w:gridCol w:w="4394"/>
      </w:tblGrid>
      <w:tr w:rsidR="00485AD4" w:rsidRPr="00FC25F6" w:rsidTr="009535FF">
        <w:tc>
          <w:tcPr>
            <w:tcW w:w="5070" w:type="dxa"/>
            <w:vAlign w:val="center"/>
          </w:tcPr>
          <w:p w:rsidR="00485AD4" w:rsidRPr="00FC25F6" w:rsidRDefault="00485AD4" w:rsidP="00F84ACD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FC25F6">
              <w:rPr>
                <w:sz w:val="28"/>
                <w:szCs w:val="28"/>
              </w:rPr>
              <w:t>олерантна особистість</w:t>
            </w:r>
          </w:p>
        </w:tc>
        <w:tc>
          <w:tcPr>
            <w:tcW w:w="4677" w:type="dxa"/>
            <w:gridSpan w:val="2"/>
          </w:tcPr>
          <w:p w:rsidR="00485AD4" w:rsidRPr="00FC25F6" w:rsidRDefault="00485AD4" w:rsidP="00F84ACD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  <w:r w:rsidRPr="00FC25F6">
              <w:rPr>
                <w:sz w:val="28"/>
                <w:szCs w:val="28"/>
              </w:rPr>
              <w:t>нтолерантна особистість</w:t>
            </w:r>
          </w:p>
        </w:tc>
      </w:tr>
      <w:tr w:rsidR="00485AD4" w:rsidRPr="00FC25F6" w:rsidTr="009535FF">
        <w:tc>
          <w:tcPr>
            <w:tcW w:w="9747" w:type="dxa"/>
            <w:gridSpan w:val="3"/>
            <w:vAlign w:val="center"/>
          </w:tcPr>
          <w:p w:rsidR="00485AD4" w:rsidRPr="00FC25F6" w:rsidRDefault="00485AD4" w:rsidP="00F84ACD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Когнітивна складова</w:t>
            </w:r>
          </w:p>
        </w:tc>
      </w:tr>
      <w:tr w:rsidR="00485AD4" w:rsidRPr="00FC25F6" w:rsidTr="009535FF">
        <w:tc>
          <w:tcPr>
            <w:tcW w:w="5070" w:type="dxa"/>
          </w:tcPr>
          <w:p w:rsidR="00485AD4" w:rsidRPr="00FC25F6" w:rsidRDefault="00485AD4" w:rsidP="009535FF">
            <w:pPr>
              <w:ind w:firstLine="567"/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Підліток повинен знати:</w:t>
            </w:r>
          </w:p>
          <w:p w:rsidR="00485AD4" w:rsidRPr="00FC25F6" w:rsidRDefault="00485AD4" w:rsidP="009535FF">
            <w:pPr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- історію та культуру країни та регіону, основи релігійних знань;</w:t>
            </w:r>
          </w:p>
          <w:p w:rsidR="00485AD4" w:rsidRPr="00FC25F6" w:rsidRDefault="00485AD4" w:rsidP="009535FF">
            <w:pPr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- гендерні, вікові, соціальні відмінності;</w:t>
            </w:r>
          </w:p>
          <w:p w:rsidR="00485AD4" w:rsidRPr="00FC25F6" w:rsidRDefault="00485AD4" w:rsidP="009535FF">
            <w:pPr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- процеси, характерні для сучасності: глобалізація, кризовість.</w:t>
            </w:r>
          </w:p>
        </w:tc>
        <w:tc>
          <w:tcPr>
            <w:tcW w:w="4677" w:type="dxa"/>
            <w:gridSpan w:val="2"/>
          </w:tcPr>
          <w:p w:rsidR="00485AD4" w:rsidRPr="00FC25F6" w:rsidRDefault="00485AD4" w:rsidP="009535F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Знання відсутні або поверхневі</w:t>
            </w:r>
            <w:r w:rsidRPr="00FC25F6">
              <w:rPr>
                <w:sz w:val="28"/>
                <w:szCs w:val="28"/>
              </w:rPr>
              <w:t xml:space="preserve">, обмежений рівень конкретизації уявлень, </w:t>
            </w:r>
            <w:r>
              <w:rPr>
                <w:sz w:val="28"/>
                <w:szCs w:val="28"/>
              </w:rPr>
              <w:t xml:space="preserve">проявляється </w:t>
            </w:r>
            <w:r w:rsidRPr="00FC25F6">
              <w:rPr>
                <w:sz w:val="28"/>
                <w:szCs w:val="28"/>
              </w:rPr>
              <w:t>небажання засвоювати нову інформацію.</w:t>
            </w:r>
          </w:p>
        </w:tc>
      </w:tr>
      <w:tr w:rsidR="00485AD4" w:rsidRPr="00FC25F6" w:rsidTr="009535FF">
        <w:tc>
          <w:tcPr>
            <w:tcW w:w="9747" w:type="dxa"/>
            <w:gridSpan w:val="3"/>
            <w:vAlign w:val="center"/>
          </w:tcPr>
          <w:p w:rsidR="00485AD4" w:rsidRPr="00FC25F6" w:rsidRDefault="00485AD4" w:rsidP="00F84ACD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Аксіологічна складова</w:t>
            </w:r>
          </w:p>
        </w:tc>
      </w:tr>
      <w:tr w:rsidR="00485AD4" w:rsidRPr="00FC25F6" w:rsidTr="009535FF">
        <w:tc>
          <w:tcPr>
            <w:tcW w:w="5353" w:type="dxa"/>
            <w:gridSpan w:val="2"/>
          </w:tcPr>
          <w:p w:rsidR="00485AD4" w:rsidRPr="00FC25F6" w:rsidRDefault="00485AD4" w:rsidP="009535FF">
            <w:pPr>
              <w:ind w:firstLine="567"/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Підліток повинен мати ціннісні установки на:</w:t>
            </w:r>
          </w:p>
          <w:p w:rsidR="00485AD4" w:rsidRPr="00FC25F6" w:rsidRDefault="00485AD4" w:rsidP="009535FF">
            <w:pPr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- цінність особистості в межах самобутності традицій;</w:t>
            </w:r>
          </w:p>
          <w:p w:rsidR="00485AD4" w:rsidRPr="00FC25F6" w:rsidRDefault="00485AD4" w:rsidP="009535FF">
            <w:pPr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- паритетні поважливі стосунки із представниками інших поколінь;</w:t>
            </w:r>
          </w:p>
          <w:p w:rsidR="00485AD4" w:rsidRPr="00FC25F6" w:rsidRDefault="00485AD4" w:rsidP="009535FF">
            <w:pPr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- соціальну відповідальність;</w:t>
            </w:r>
          </w:p>
          <w:p w:rsidR="00485AD4" w:rsidRPr="00FC25F6" w:rsidRDefault="00485AD4" w:rsidP="009535FF">
            <w:pPr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 xml:space="preserve"> - подолання стереотипів, упереджень, агресії щодо проявів неоднаковості.</w:t>
            </w:r>
          </w:p>
        </w:tc>
        <w:tc>
          <w:tcPr>
            <w:tcW w:w="4394" w:type="dxa"/>
          </w:tcPr>
          <w:p w:rsidR="00485AD4" w:rsidRPr="00FC25F6" w:rsidRDefault="00485AD4" w:rsidP="009535FF">
            <w:pPr>
              <w:ind w:firstLine="567"/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Установки або повністю відсутні, або розвинені недостатньо, однобоко і не враховують прав представників інших поколінь.</w:t>
            </w:r>
          </w:p>
        </w:tc>
      </w:tr>
      <w:tr w:rsidR="00485AD4" w:rsidRPr="00FC25F6" w:rsidTr="009535FF">
        <w:tc>
          <w:tcPr>
            <w:tcW w:w="9747" w:type="dxa"/>
            <w:gridSpan w:val="3"/>
            <w:vAlign w:val="center"/>
          </w:tcPr>
          <w:p w:rsidR="00485AD4" w:rsidRPr="00FC25F6" w:rsidRDefault="00485AD4" w:rsidP="00F84ACD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Інструментальна складова</w:t>
            </w:r>
          </w:p>
        </w:tc>
      </w:tr>
      <w:tr w:rsidR="00485AD4" w:rsidRPr="00FC25F6" w:rsidTr="009535FF">
        <w:tc>
          <w:tcPr>
            <w:tcW w:w="5353" w:type="dxa"/>
            <w:gridSpan w:val="2"/>
          </w:tcPr>
          <w:p w:rsidR="00485AD4" w:rsidRPr="00FC25F6" w:rsidRDefault="00485AD4" w:rsidP="009535FF">
            <w:pPr>
              <w:ind w:firstLine="567"/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Підліток повинен вміти:</w:t>
            </w:r>
          </w:p>
          <w:p w:rsidR="00485AD4" w:rsidRPr="00FC25F6" w:rsidRDefault="00485AD4" w:rsidP="009535FF">
            <w:pPr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- відкрито, неупереджено вступати в контакт із представниками інших поколінь;</w:t>
            </w:r>
          </w:p>
          <w:p w:rsidR="00485AD4" w:rsidRPr="00FC25F6" w:rsidRDefault="00485AD4" w:rsidP="009535FF">
            <w:pPr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- паритетно спілкуватись із представниками старших поколінь;</w:t>
            </w:r>
          </w:p>
          <w:p w:rsidR="00485AD4" w:rsidRPr="00FC25F6" w:rsidRDefault="00485AD4" w:rsidP="009535FF">
            <w:pPr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- толерантно мислити при взаємодії із дорослими, здійснювати саморегуляцію.</w:t>
            </w:r>
          </w:p>
          <w:p w:rsidR="00485AD4" w:rsidRPr="00FC25F6" w:rsidRDefault="00485AD4" w:rsidP="009535F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85AD4" w:rsidRPr="00FC25F6" w:rsidRDefault="00485AD4" w:rsidP="009535FF">
            <w:pPr>
              <w:ind w:firstLine="567"/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Вміння або відсутні, або сформовані на недостатньому рівні, наявні комунікативні бар’єри та упередження у взаємодії.</w:t>
            </w:r>
          </w:p>
        </w:tc>
      </w:tr>
      <w:tr w:rsidR="00485AD4" w:rsidRPr="00FC25F6" w:rsidTr="009535FF">
        <w:tc>
          <w:tcPr>
            <w:tcW w:w="9747" w:type="dxa"/>
            <w:gridSpan w:val="3"/>
            <w:vAlign w:val="center"/>
          </w:tcPr>
          <w:p w:rsidR="00485AD4" w:rsidRPr="00FC25F6" w:rsidRDefault="00485AD4" w:rsidP="00F84ACD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Якісна складова</w:t>
            </w:r>
          </w:p>
        </w:tc>
      </w:tr>
      <w:tr w:rsidR="00485AD4" w:rsidRPr="00FC25F6" w:rsidTr="009535FF">
        <w:tc>
          <w:tcPr>
            <w:tcW w:w="5353" w:type="dxa"/>
            <w:gridSpan w:val="2"/>
          </w:tcPr>
          <w:p w:rsidR="00485AD4" w:rsidRPr="00FC25F6" w:rsidRDefault="00485AD4" w:rsidP="009535FF">
            <w:pPr>
              <w:ind w:firstLine="567"/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 xml:space="preserve">Підліток повинен мати достатньо </w:t>
            </w:r>
            <w:r>
              <w:rPr>
                <w:sz w:val="28"/>
                <w:szCs w:val="28"/>
              </w:rPr>
              <w:t xml:space="preserve">сформованими </w:t>
            </w:r>
            <w:r w:rsidRPr="00FC25F6">
              <w:rPr>
                <w:sz w:val="28"/>
                <w:szCs w:val="28"/>
              </w:rPr>
              <w:t>наступні якості:</w:t>
            </w:r>
          </w:p>
          <w:p w:rsidR="00485AD4" w:rsidRPr="00FC25F6" w:rsidRDefault="00485AD4" w:rsidP="009535FF">
            <w:pPr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врівноваженість; терплячість;</w:t>
            </w:r>
            <w:r>
              <w:rPr>
                <w:sz w:val="28"/>
                <w:szCs w:val="28"/>
              </w:rPr>
              <w:t xml:space="preserve"> </w:t>
            </w:r>
            <w:r w:rsidRPr="00FC25F6">
              <w:rPr>
                <w:sz w:val="28"/>
                <w:szCs w:val="28"/>
              </w:rPr>
              <w:t>емпатійність;</w:t>
            </w:r>
            <w:r>
              <w:rPr>
                <w:sz w:val="28"/>
                <w:szCs w:val="28"/>
              </w:rPr>
              <w:t xml:space="preserve"> </w:t>
            </w:r>
            <w:r w:rsidRPr="00FC25F6">
              <w:rPr>
                <w:sz w:val="28"/>
                <w:szCs w:val="28"/>
              </w:rPr>
              <w:t>критичність мислення; соціальна гнучкість при відсутності повної конформності;с</w:t>
            </w:r>
            <w:r>
              <w:rPr>
                <w:sz w:val="28"/>
                <w:szCs w:val="28"/>
              </w:rPr>
              <w:t xml:space="preserve"> </w:t>
            </w:r>
            <w:r w:rsidRPr="00FC25F6">
              <w:rPr>
                <w:sz w:val="28"/>
                <w:szCs w:val="28"/>
              </w:rPr>
              <w:t>оціальна пер</w:t>
            </w:r>
            <w:r>
              <w:rPr>
                <w:sz w:val="28"/>
                <w:szCs w:val="28"/>
              </w:rPr>
              <w:t>ц</w:t>
            </w:r>
            <w:r w:rsidRPr="00FC25F6">
              <w:rPr>
                <w:sz w:val="28"/>
                <w:szCs w:val="28"/>
              </w:rPr>
              <w:t>ептивність;</w:t>
            </w:r>
            <w:r>
              <w:rPr>
                <w:sz w:val="28"/>
                <w:szCs w:val="28"/>
              </w:rPr>
              <w:t xml:space="preserve"> </w:t>
            </w:r>
            <w:r w:rsidRPr="00FC25F6">
              <w:rPr>
                <w:sz w:val="28"/>
                <w:szCs w:val="28"/>
              </w:rPr>
              <w:t>емоційна стабільність;</w:t>
            </w:r>
          </w:p>
          <w:p w:rsidR="00485AD4" w:rsidRPr="00FC25F6" w:rsidRDefault="00485AD4" w:rsidP="009535FF">
            <w:pPr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самостійність;</w:t>
            </w:r>
          </w:p>
        </w:tc>
        <w:tc>
          <w:tcPr>
            <w:tcW w:w="4394" w:type="dxa"/>
          </w:tcPr>
          <w:p w:rsidR="00485AD4" w:rsidRPr="00FC25F6" w:rsidRDefault="00485AD4" w:rsidP="009535FF">
            <w:pPr>
              <w:ind w:firstLine="567"/>
              <w:jc w:val="both"/>
              <w:rPr>
                <w:sz w:val="28"/>
                <w:szCs w:val="28"/>
              </w:rPr>
            </w:pPr>
            <w:r w:rsidRPr="00FC25F6">
              <w:rPr>
                <w:sz w:val="28"/>
                <w:szCs w:val="28"/>
              </w:rPr>
              <w:t>Якості або повністю відсутні, або розвинені недостатньо, або наявність певних установок блокує прояв даних якостей.</w:t>
            </w:r>
          </w:p>
        </w:tc>
      </w:tr>
    </w:tbl>
    <w:p w:rsidR="00485AD4" w:rsidRDefault="00485AD4" w:rsidP="00F84ACD">
      <w:pPr>
        <w:spacing w:line="360" w:lineRule="auto"/>
        <w:ind w:firstLine="567"/>
        <w:jc w:val="both"/>
        <w:rPr>
          <w:sz w:val="28"/>
          <w:szCs w:val="28"/>
        </w:rPr>
      </w:pPr>
    </w:p>
    <w:p w:rsidR="00485AD4" w:rsidRPr="003D1B56" w:rsidRDefault="00485AD4" w:rsidP="00F84ACD">
      <w:pPr>
        <w:spacing w:line="360" w:lineRule="auto"/>
        <w:ind w:firstLine="567"/>
        <w:jc w:val="both"/>
        <w:rPr>
          <w:sz w:val="28"/>
          <w:szCs w:val="28"/>
        </w:rPr>
      </w:pPr>
      <w:r w:rsidRPr="003D1B56">
        <w:rPr>
          <w:sz w:val="28"/>
          <w:szCs w:val="28"/>
        </w:rPr>
        <w:t>Таким чином, аналізуючи толерантність з точки зору соціальних установок, знань, якісних рис та інструментальних умінь, ми дійшли висновку, що критеріями толерантності є такі інтегративні характеристики особистості як: терпимість; емпатійність; комунікативність; емоційна стабільність; соціальна активність; достатній рівень освіти та культури; достатній рівень розвитку мислення. Міжпоколінну  підліткову толерантність  розуміємо, як активне ставлення сформоване на основі визнання універсальних прав та основних свобод людини в межах міжпоколінної взаємодії.</w:t>
      </w:r>
    </w:p>
    <w:p w:rsidR="00485AD4" w:rsidRDefault="00485AD4" w:rsidP="00F84ACD">
      <w:pPr>
        <w:spacing w:line="360" w:lineRule="auto"/>
        <w:ind w:firstLine="567"/>
      </w:pPr>
    </w:p>
    <w:p w:rsidR="00485AD4" w:rsidRDefault="00485AD4" w:rsidP="00F2674A">
      <w:pPr>
        <w:spacing w:line="360" w:lineRule="auto"/>
        <w:ind w:firstLine="567"/>
        <w:rPr>
          <w:b/>
          <w:color w:val="000000"/>
        </w:rPr>
      </w:pPr>
      <w:r w:rsidRPr="00C92E6B">
        <w:rPr>
          <w:b/>
          <w:color w:val="000000"/>
        </w:rPr>
        <w:t>Література:</w:t>
      </w:r>
    </w:p>
    <w:p w:rsidR="00485AD4" w:rsidRPr="00CE464F" w:rsidRDefault="00485AD4" w:rsidP="00CE464F">
      <w:pPr>
        <w:pStyle w:val="BodyText"/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r w:rsidRPr="00CE464F">
        <w:rPr>
          <w:sz w:val="28"/>
          <w:szCs w:val="28"/>
        </w:rPr>
        <w:t xml:space="preserve">Грива О.А. Соціально-педагогічні основи формування толерантності у дітей і молоді в умовах полікультурного середовища: </w:t>
      </w:r>
      <w:r w:rsidRPr="00CE464F">
        <w:rPr>
          <w:sz w:val="28"/>
          <w:szCs w:val="28"/>
          <w:lang w:val="ru-RU"/>
        </w:rPr>
        <w:t>[</w:t>
      </w:r>
      <w:r w:rsidRPr="00CE464F">
        <w:rPr>
          <w:sz w:val="28"/>
          <w:szCs w:val="28"/>
        </w:rPr>
        <w:t>монографія</w:t>
      </w:r>
      <w:r w:rsidRPr="00CE464F">
        <w:rPr>
          <w:sz w:val="28"/>
          <w:szCs w:val="28"/>
          <w:lang w:val="ru-RU"/>
        </w:rPr>
        <w:t>]</w:t>
      </w:r>
      <w:r w:rsidRPr="00CE464F">
        <w:rPr>
          <w:sz w:val="28"/>
          <w:szCs w:val="28"/>
        </w:rPr>
        <w:t xml:space="preserve"> /Ольга Анатоліївна Грива . – К.: Вид. ПАРАПАН, 2005 – 228 с. </w:t>
      </w:r>
    </w:p>
    <w:p w:rsidR="00485AD4" w:rsidRPr="00CE464F" w:rsidRDefault="00485AD4" w:rsidP="00CE464F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E464F">
        <w:rPr>
          <w:rFonts w:ascii="Times New Roman" w:hAnsi="Times New Roman"/>
          <w:sz w:val="28"/>
          <w:szCs w:val="28"/>
        </w:rPr>
        <w:t>Жукова С.А. Культура межпоколенных взаимоотношений / С.А. Жукова // Культура, власть, идентичность: новыеподходы в социальных науках. / под ред. Е. Р. Ярской-Смирновой. Саратов: Издательско-комерческое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464F">
        <w:rPr>
          <w:rFonts w:ascii="Times New Roman" w:hAnsi="Times New Roman"/>
          <w:sz w:val="28"/>
          <w:szCs w:val="28"/>
        </w:rPr>
        <w:t>предприятие “Волжский сад”, 1999. – 344 с.</w:t>
      </w:r>
    </w:p>
    <w:p w:rsidR="00485AD4" w:rsidRPr="00CE464F" w:rsidRDefault="00485AD4" w:rsidP="00CE464F">
      <w:pPr>
        <w:pStyle w:val="BodyText"/>
        <w:numPr>
          <w:ilvl w:val="0"/>
          <w:numId w:val="4"/>
        </w:numPr>
        <w:spacing w:after="0" w:line="360" w:lineRule="auto"/>
        <w:jc w:val="both"/>
        <w:rPr>
          <w:sz w:val="28"/>
          <w:szCs w:val="28"/>
          <w:lang w:val="ru-RU"/>
        </w:rPr>
      </w:pPr>
      <w:r w:rsidRPr="00CE464F">
        <w:rPr>
          <w:sz w:val="28"/>
          <w:szCs w:val="28"/>
        </w:rPr>
        <w:t>З</w:t>
      </w:r>
      <w:r w:rsidRPr="00CE464F">
        <w:rPr>
          <w:sz w:val="28"/>
          <w:szCs w:val="28"/>
          <w:lang w:val="ru-RU"/>
        </w:rPr>
        <w:t>и</w:t>
      </w:r>
      <w:r w:rsidRPr="00CE464F">
        <w:rPr>
          <w:sz w:val="28"/>
          <w:szCs w:val="28"/>
        </w:rPr>
        <w:t>нченкоВ. П. Толерантность к неопределенности: новость</w:t>
      </w:r>
      <w:r>
        <w:rPr>
          <w:sz w:val="28"/>
          <w:szCs w:val="28"/>
        </w:rPr>
        <w:t xml:space="preserve"> </w:t>
      </w:r>
      <w:r w:rsidRPr="00CE464F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CE464F">
        <w:rPr>
          <w:sz w:val="28"/>
          <w:szCs w:val="28"/>
        </w:rPr>
        <w:t>психологическая</w:t>
      </w:r>
      <w:r>
        <w:rPr>
          <w:sz w:val="28"/>
          <w:szCs w:val="28"/>
        </w:rPr>
        <w:t xml:space="preserve"> </w:t>
      </w:r>
      <w:r w:rsidRPr="00CE464F">
        <w:rPr>
          <w:sz w:val="28"/>
          <w:szCs w:val="28"/>
        </w:rPr>
        <w:t>традиция? / В. П. Зинченко // Вопросыпсихологии – 2007. – № 6.– С. 3</w:t>
      </w:r>
      <w:r w:rsidRPr="00CE464F">
        <w:rPr>
          <w:sz w:val="28"/>
          <w:szCs w:val="28"/>
          <w:lang w:val="ru-RU"/>
        </w:rPr>
        <w:t xml:space="preserve"> – </w:t>
      </w:r>
      <w:r w:rsidRPr="00CE464F">
        <w:rPr>
          <w:sz w:val="28"/>
          <w:szCs w:val="28"/>
        </w:rPr>
        <w:t>20.</w:t>
      </w:r>
    </w:p>
    <w:p w:rsidR="00485AD4" w:rsidRPr="00CE464F" w:rsidRDefault="00485AD4" w:rsidP="00CE464F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E464F">
        <w:rPr>
          <w:rFonts w:ascii="Times New Roman" w:hAnsi="Times New Roman"/>
          <w:sz w:val="28"/>
          <w:szCs w:val="28"/>
        </w:rPr>
        <w:t>Мид М. Культура и мир детства. Избранные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464F">
        <w:rPr>
          <w:rFonts w:ascii="Times New Roman" w:hAnsi="Times New Roman"/>
          <w:sz w:val="28"/>
          <w:szCs w:val="28"/>
        </w:rPr>
        <w:t xml:space="preserve">произведения / М. Мид — М.: Наука, 1988. – 429 с.  </w:t>
      </w:r>
    </w:p>
    <w:p w:rsidR="00485AD4" w:rsidRPr="00CE464F" w:rsidRDefault="00485AD4" w:rsidP="00CE464F">
      <w:pPr>
        <w:pStyle w:val="BodyText"/>
        <w:numPr>
          <w:ilvl w:val="0"/>
          <w:numId w:val="4"/>
        </w:numPr>
        <w:spacing w:after="0" w:line="360" w:lineRule="auto"/>
        <w:jc w:val="both"/>
        <w:rPr>
          <w:sz w:val="28"/>
          <w:szCs w:val="28"/>
          <w:lang w:val="ru-RU"/>
        </w:rPr>
      </w:pPr>
      <w:r w:rsidRPr="00CE464F">
        <w:rPr>
          <w:sz w:val="28"/>
          <w:szCs w:val="28"/>
        </w:rPr>
        <w:t>Ортега-и-Гассет Х. Эстетика. Философиякультуры /</w:t>
      </w:r>
      <w:r w:rsidRPr="00CE464F">
        <w:rPr>
          <w:sz w:val="28"/>
          <w:szCs w:val="28"/>
          <w:lang w:val="ru-RU"/>
        </w:rPr>
        <w:t xml:space="preserve"> Х. </w:t>
      </w:r>
      <w:r w:rsidRPr="00CE464F">
        <w:rPr>
          <w:sz w:val="28"/>
          <w:szCs w:val="28"/>
        </w:rPr>
        <w:t>Ортега-и-Гассет /</w:t>
      </w:r>
      <w:r w:rsidRPr="00CE464F">
        <w:rPr>
          <w:sz w:val="28"/>
          <w:szCs w:val="28"/>
          <w:lang w:val="ru-RU"/>
        </w:rPr>
        <w:t xml:space="preserve"> под ред.</w:t>
      </w:r>
      <w:r w:rsidRPr="00CE464F">
        <w:rPr>
          <w:sz w:val="28"/>
          <w:szCs w:val="28"/>
        </w:rPr>
        <w:t xml:space="preserve"> Г.М. Фридлендера; В.Е.Барно. – М.: Искусство, 1991. – 558с.</w:t>
      </w:r>
    </w:p>
    <w:p w:rsidR="00485AD4" w:rsidRPr="00CE464F" w:rsidRDefault="00485AD4" w:rsidP="00CE464F">
      <w:pPr>
        <w:pStyle w:val="BodyText"/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r w:rsidRPr="00CE464F">
        <w:rPr>
          <w:sz w:val="28"/>
          <w:szCs w:val="28"/>
          <w:lang w:val="ru-RU"/>
        </w:rPr>
        <w:t xml:space="preserve">Франкл В. Человек в поисках смысла: сборник / В. Франкл; пер. с англ. и нем. </w:t>
      </w:r>
      <w:r w:rsidRPr="00CE464F">
        <w:rPr>
          <w:sz w:val="28"/>
          <w:szCs w:val="28"/>
        </w:rPr>
        <w:t>Д. А. Леонтьева, М. П. Папуша, Е. В. Эйдмана</w:t>
      </w:r>
      <w:r w:rsidRPr="00CE464F">
        <w:rPr>
          <w:sz w:val="28"/>
          <w:szCs w:val="28"/>
          <w:lang w:val="ru-RU"/>
        </w:rPr>
        <w:t xml:space="preserve"> / общ.ред. Л. Я. Гозмана, Д. А. Леонтьева. – М.: Прогресс, 1990. – 368 с. (ТОРНСТОН</w:t>
      </w:r>
    </w:p>
    <w:p w:rsidR="00485AD4" w:rsidRPr="00CE464F" w:rsidRDefault="00485AD4" w:rsidP="00CE464F">
      <w:pPr>
        <w:pStyle w:val="BodyText"/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r w:rsidRPr="00CE464F">
        <w:rPr>
          <w:iCs/>
          <w:sz w:val="28"/>
          <w:szCs w:val="28"/>
          <w:shd w:val="clear" w:color="auto" w:fill="FFFFFF"/>
          <w:lang w:val="en-US"/>
        </w:rPr>
        <w:t>Edward Erwin</w:t>
      </w:r>
      <w:r w:rsidRPr="00CE464F">
        <w:rPr>
          <w:iCs/>
          <w:sz w:val="28"/>
          <w:szCs w:val="28"/>
          <w:shd w:val="clear" w:color="auto" w:fill="FFFFFF"/>
        </w:rPr>
        <w:t xml:space="preserve">. </w:t>
      </w:r>
      <w:r w:rsidRPr="00CE464F">
        <w:rPr>
          <w:sz w:val="28"/>
          <w:szCs w:val="28"/>
          <w:shd w:val="clear" w:color="auto" w:fill="FFFFFF"/>
          <w:lang w:val="en-US"/>
        </w:rPr>
        <w:t>Electra Complex //</w:t>
      </w:r>
      <w:r w:rsidRPr="00CE464F">
        <w:rPr>
          <w:rStyle w:val="apple-converted-space"/>
          <w:sz w:val="28"/>
          <w:szCs w:val="28"/>
          <w:shd w:val="clear" w:color="auto" w:fill="FFFFFF"/>
          <w:lang w:val="en-US"/>
        </w:rPr>
        <w:t> </w:t>
      </w:r>
      <w:hyperlink r:id="rId5" w:history="1">
        <w:r w:rsidRPr="00CE464F">
          <w:rPr>
            <w:rStyle w:val="Hyperlink"/>
            <w:color w:val="auto"/>
            <w:sz w:val="28"/>
            <w:szCs w:val="28"/>
            <w:u w:val="none"/>
            <w:lang w:val="en-US"/>
          </w:rPr>
          <w:t>The Freud Encyclopedia: Theory, Therapy, and Culture</w:t>
        </w:r>
      </w:hyperlink>
      <w:r w:rsidRPr="00CE464F">
        <w:rPr>
          <w:sz w:val="28"/>
          <w:szCs w:val="28"/>
        </w:rPr>
        <w:t xml:space="preserve"> / </w:t>
      </w:r>
      <w:r w:rsidRPr="00CE464F">
        <w:rPr>
          <w:iCs/>
          <w:sz w:val="28"/>
          <w:szCs w:val="28"/>
          <w:shd w:val="clear" w:color="auto" w:fill="FFFFFF"/>
          <w:lang w:val="en-US"/>
        </w:rPr>
        <w:t>Edward Erwin</w:t>
      </w:r>
      <w:r w:rsidRPr="00CE464F">
        <w:rPr>
          <w:sz w:val="28"/>
          <w:szCs w:val="28"/>
          <w:shd w:val="clear" w:color="auto" w:fill="FFFFFF"/>
          <w:lang w:val="en-US"/>
        </w:rPr>
        <w:t xml:space="preserve">. — New-York: Routledge, 2002. — </w:t>
      </w:r>
      <w:r w:rsidRPr="00CE464F">
        <w:rPr>
          <w:sz w:val="28"/>
          <w:szCs w:val="28"/>
          <w:shd w:val="clear" w:color="auto" w:fill="FFFFFF"/>
        </w:rPr>
        <w:t>С</w:t>
      </w:r>
      <w:r w:rsidRPr="00CE464F">
        <w:rPr>
          <w:sz w:val="28"/>
          <w:szCs w:val="28"/>
          <w:shd w:val="clear" w:color="auto" w:fill="FFFFFF"/>
          <w:lang w:val="en-US"/>
        </w:rPr>
        <w:t>. 174.</w:t>
      </w:r>
    </w:p>
    <w:p w:rsidR="00485AD4" w:rsidRPr="00CE464F" w:rsidRDefault="00485AD4" w:rsidP="00CE464F">
      <w:pPr>
        <w:pStyle w:val="BodyText"/>
        <w:spacing w:after="0" w:line="360" w:lineRule="auto"/>
        <w:ind w:left="720"/>
        <w:jc w:val="both"/>
        <w:rPr>
          <w:sz w:val="28"/>
          <w:szCs w:val="28"/>
        </w:rPr>
      </w:pPr>
    </w:p>
    <w:p w:rsidR="00485AD4" w:rsidRDefault="00485AD4" w:rsidP="00F84ACD">
      <w:pPr>
        <w:spacing w:line="360" w:lineRule="auto"/>
        <w:ind w:firstLine="567"/>
        <w:jc w:val="center"/>
      </w:pPr>
    </w:p>
    <w:sectPr w:rsidR="00485AD4" w:rsidSect="009535F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3718"/>
    <w:multiLevelType w:val="hybridMultilevel"/>
    <w:tmpl w:val="0A7A66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4DD2367"/>
    <w:multiLevelType w:val="hybridMultilevel"/>
    <w:tmpl w:val="CD00EE0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5EB5ACE"/>
    <w:multiLevelType w:val="hybridMultilevel"/>
    <w:tmpl w:val="CC56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3474"/>
    <w:rsid w:val="000B4AD0"/>
    <w:rsid w:val="002A26AB"/>
    <w:rsid w:val="00344096"/>
    <w:rsid w:val="003B7A28"/>
    <w:rsid w:val="003C4529"/>
    <w:rsid w:val="003D1B56"/>
    <w:rsid w:val="00485AD4"/>
    <w:rsid w:val="004942D0"/>
    <w:rsid w:val="004E49FC"/>
    <w:rsid w:val="007F3474"/>
    <w:rsid w:val="00806737"/>
    <w:rsid w:val="00806B20"/>
    <w:rsid w:val="00861650"/>
    <w:rsid w:val="00952219"/>
    <w:rsid w:val="009535FF"/>
    <w:rsid w:val="00974F1D"/>
    <w:rsid w:val="009B705F"/>
    <w:rsid w:val="00B174AE"/>
    <w:rsid w:val="00C27CCD"/>
    <w:rsid w:val="00C720CE"/>
    <w:rsid w:val="00C92E6B"/>
    <w:rsid w:val="00CE464F"/>
    <w:rsid w:val="00D149FC"/>
    <w:rsid w:val="00D91963"/>
    <w:rsid w:val="00E91AF0"/>
    <w:rsid w:val="00F2674A"/>
    <w:rsid w:val="00F27C95"/>
    <w:rsid w:val="00F84ACD"/>
    <w:rsid w:val="00F855B3"/>
    <w:rsid w:val="00FC25F6"/>
    <w:rsid w:val="00FD1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A28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4AC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84ACD"/>
    <w:rPr>
      <w:rFonts w:ascii="Times New Roman" w:hAnsi="Times New Roman"/>
      <w:sz w:val="24"/>
      <w:lang w:val="uk-UA" w:eastAsia="ru-RU"/>
    </w:rPr>
  </w:style>
  <w:style w:type="character" w:customStyle="1" w:styleId="a">
    <w:name w:val="Основной текст Знак"/>
    <w:basedOn w:val="DefaultParagraphFont"/>
    <w:uiPriority w:val="99"/>
    <w:semiHidden/>
    <w:rsid w:val="00F84ACD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basedOn w:val="DefaultParagraphFont"/>
    <w:uiPriority w:val="99"/>
    <w:rsid w:val="00F84ACD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F84AC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806B2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ooks.google.co.il/books?id=rX2w6QELtKgC&amp;pg=PA17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5</Pages>
  <Words>5425</Words>
  <Characters>3093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20</cp:revision>
  <dcterms:created xsi:type="dcterms:W3CDTF">2015-03-12T10:57:00Z</dcterms:created>
  <dcterms:modified xsi:type="dcterms:W3CDTF">2015-03-26T07:18:00Z</dcterms:modified>
</cp:coreProperties>
</file>