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4CC" w:rsidRPr="003C27E5" w:rsidRDefault="00F554CC" w:rsidP="009F110A">
      <w:pPr>
        <w:spacing w:after="0" w:line="360" w:lineRule="auto"/>
        <w:ind w:firstLine="80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27E5">
        <w:rPr>
          <w:rFonts w:ascii="Times New Roman" w:hAnsi="Times New Roman" w:cs="Times New Roman"/>
          <w:b/>
          <w:sz w:val="28"/>
          <w:szCs w:val="28"/>
        </w:rPr>
        <w:t>Віталій Ляшенко</w:t>
      </w:r>
    </w:p>
    <w:p w:rsidR="00F554CC" w:rsidRPr="003C27E5" w:rsidRDefault="00F554CC" w:rsidP="009F110A">
      <w:pPr>
        <w:spacing w:after="0" w:line="360" w:lineRule="auto"/>
        <w:ind w:firstLine="80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27E5">
        <w:rPr>
          <w:rFonts w:ascii="Times New Roman" w:hAnsi="Times New Roman" w:cs="Times New Roman"/>
          <w:b/>
          <w:sz w:val="28"/>
          <w:szCs w:val="28"/>
        </w:rPr>
        <w:t>(Одеса, Україна)</w:t>
      </w:r>
    </w:p>
    <w:p w:rsidR="00F554CC" w:rsidRDefault="00F554CC" w:rsidP="009F110A">
      <w:pPr>
        <w:spacing w:after="0" w:line="360" w:lineRule="auto"/>
        <w:ind w:firstLine="80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554CC" w:rsidRPr="00845E6D" w:rsidRDefault="00F554CC" w:rsidP="009F110A">
      <w:pPr>
        <w:spacing w:after="0" w:line="360" w:lineRule="auto"/>
        <w:ind w:firstLine="8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E6D">
        <w:rPr>
          <w:rFonts w:ascii="Times New Roman" w:hAnsi="Times New Roman" w:cs="Times New Roman"/>
          <w:b/>
          <w:sz w:val="28"/>
          <w:szCs w:val="28"/>
        </w:rPr>
        <w:t>АНАЛІЗ ЕЛЕМЕНТІВ РЕЛЬЄФУ ЯК ПІДСТАВА РОЗРАХУНКУ МІКРОКЛІМАТИЧНОЇ МІНЛИВОСТІ ПОКАЗНИКІВ АГРОКЛІМАТИЧНИХ РЕСУРСІВ</w:t>
      </w:r>
    </w:p>
    <w:p w:rsidR="00F554CC" w:rsidRDefault="00F554CC" w:rsidP="009F110A">
      <w:pPr>
        <w:spacing w:after="0" w:line="360" w:lineRule="auto"/>
        <w:ind w:firstLine="8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554CC" w:rsidRDefault="00F554CC" w:rsidP="009F11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FBD">
        <w:rPr>
          <w:rFonts w:ascii="Times New Roman" w:hAnsi="Times New Roman" w:cs="Times New Roman"/>
          <w:b/>
          <w:sz w:val="28"/>
          <w:szCs w:val="28"/>
        </w:rPr>
        <w:t>Вступ.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5E6D">
        <w:rPr>
          <w:rFonts w:ascii="Times New Roman" w:hAnsi="Times New Roman" w:cs="Times New Roman"/>
          <w:sz w:val="28"/>
          <w:szCs w:val="28"/>
        </w:rPr>
        <w:t xml:space="preserve">Оцінка агрокліматичних ресурсів територій </w:t>
      </w:r>
      <w:r>
        <w:rPr>
          <w:rFonts w:ascii="Times New Roman" w:hAnsi="Times New Roman" w:cs="Times New Roman"/>
          <w:sz w:val="28"/>
          <w:szCs w:val="28"/>
        </w:rPr>
        <w:t>є необхідною умовою при науковому обґрунтуванні оптимізації розміщення сільськогосподарських культур і сільськогосподарської спеціалізації як регіонів, так і окремих господарств. Агрокліматичні ресурси змінюються в регіональному розрізі в залежності від географічної широти і довготи, абсолютної висоти місцевості та близькості водойм різного розміру.  Проте при оптимізації розміщення культур в окремих господарств, особливо їх цінної групи, такої інформації часто недостатньо, особливо для території з різними типами та елементами рельєфу. Як відомо, під впливом елементів рельєфу, до яких відносяться форми рельєфу (рівнина, схили, долини, балки тощо), схили різної експозиції і крутизни різниця в величинах умов морозо- і заморозконебезпечності  (величина мінімальних температур в період морозів та заморозків, дат весняних і осінніх заморозків, тривалості періоду з морозами і заморозками, сум фотосинтетично активної радіації і сум температур, запасів продуктивної вологи у ґрунті) в межах одного господарства може перевищувати зональну різницю в 5-20 раз. Тому для визначення агрокліматичних ресурсів необхідна детальний аналіз елементів рельєфу конкретних господарств.</w:t>
      </w:r>
    </w:p>
    <w:p w:rsidR="00F554CC" w:rsidRDefault="00F554CC" w:rsidP="009F11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даної статті є аналіз елементів рельєфу та розрахунок окремих показників агрокліматичних ресурсів на прикладі господарства «Надлиманське», що розміщене в Овідіопольському районі Одеської області.</w:t>
      </w:r>
    </w:p>
    <w:p w:rsidR="00F554CC" w:rsidRDefault="00F554CC" w:rsidP="009F11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Основними методами дослідження стали картографічний і метод мікрокліматичних розрахунків та узагальнень.</w:t>
      </w:r>
    </w:p>
    <w:p w:rsidR="00F554CC" w:rsidRDefault="00F554CC" w:rsidP="009F11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Вихідна інформація включала великомасштабну (1:10000) гіпсометричну карту (карту горизонталей) господарства та агрокліматичну інформацію за даними найближчої агрометеорологічної станції Одеса</w:t>
      </w:r>
      <w:r w:rsidRPr="004908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</w:t>
      </w:r>
      <w:r w:rsidRPr="00490880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]</w:t>
      </w:r>
      <w:r w:rsidRPr="004908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54CC" w:rsidRDefault="00F554CC" w:rsidP="009F11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FBD">
        <w:rPr>
          <w:rFonts w:ascii="Times New Roman" w:hAnsi="Times New Roman" w:cs="Times New Roman"/>
          <w:b/>
          <w:sz w:val="28"/>
          <w:szCs w:val="28"/>
        </w:rPr>
        <w:t>Методи дослідження.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Застосування картографічного методу полягало в виділені ділянок земель, які відрізнялися за типом рельєфу за показником відносного перевищення висот. За допомогою звичайних палеток в межах виділених схилів окреслювалися контури з різними експозиціями та крутизною схилів. </w:t>
      </w:r>
    </w:p>
    <w:p w:rsidR="00F554CC" w:rsidRDefault="00F554CC" w:rsidP="009F11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Розрахунки мікрокліматичної мінливості показників агрокліматичних ресурсів виконувалися згідно із розроблених в середині минулого століття Гольцберг І.А., Міщенко З.А., Романовою О.Н. параметрів мікрокліматичної мінливості показників у вигляді різниць і коефіцієнтів та універсальних схем [</w:t>
      </w:r>
      <w:r w:rsidRPr="00DE04B7">
        <w:rPr>
          <w:rFonts w:ascii="Times New Roman" w:hAnsi="Times New Roman" w:cs="Times New Roman"/>
          <w:sz w:val="28"/>
          <w:szCs w:val="28"/>
        </w:rPr>
        <w:t>4-6</w:t>
      </w:r>
      <w:r>
        <w:rPr>
          <w:rFonts w:ascii="Times New Roman" w:hAnsi="Times New Roman" w:cs="Times New Roman"/>
          <w:sz w:val="28"/>
          <w:szCs w:val="28"/>
        </w:rPr>
        <w:t>], які Ляшенко Г.В. були уточнені для окремих регіонів України [</w:t>
      </w:r>
      <w:r w:rsidRPr="00DE04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]. Мікрокліматичні розрахунки здійснюються за формулами:</w:t>
      </w: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</w:t>
      </w:r>
      <w:r w:rsidRPr="00F0607B">
        <w:rPr>
          <w:rFonts w:ascii="Times New Roman" w:hAnsi="Times New Roman" w:cs="Times New Roman"/>
          <w:spacing w:val="2"/>
          <w:position w:val="-38"/>
          <w:sz w:val="28"/>
          <w:szCs w:val="28"/>
        </w:rPr>
        <w:object w:dxaOrig="1219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41.25pt" o:ole="">
            <v:imagedata r:id="rId5" o:title=""/>
          </v:shape>
          <o:OLEObject Type="Embed" ProgID="Equation.3" ShapeID="_x0000_i1025" DrawAspect="Content" ObjectID="_1491768956" r:id="rId6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;  </w:t>
      </w:r>
      <w:r w:rsidRPr="00F0607B">
        <w:rPr>
          <w:rFonts w:ascii="Times New Roman" w:hAnsi="Times New Roman" w:cs="Times New Roman"/>
          <w:spacing w:val="2"/>
          <w:position w:val="-42"/>
          <w:sz w:val="28"/>
          <w:szCs w:val="28"/>
        </w:rPr>
        <w:object w:dxaOrig="1460" w:dyaOrig="920">
          <v:shape id="_x0000_i1026" type="#_x0000_t75" style="width:68.25pt;height:42pt" o:ole="">
            <v:imagedata r:id="rId7" o:title=""/>
          </v:shape>
          <o:OLEObject Type="Embed" ProgID="Equation.3" ShapeID="_x0000_i1026" DrawAspect="Content" ObjectID="_1491768957" r:id="rId8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;        </w:t>
      </w:r>
      <w:r w:rsidRPr="00F0607B">
        <w:rPr>
          <w:rFonts w:ascii="Times New Roman" w:hAnsi="Times New Roman" w:cs="Times New Roman"/>
          <w:spacing w:val="2"/>
          <w:position w:val="-32"/>
          <w:sz w:val="28"/>
          <w:szCs w:val="28"/>
        </w:rPr>
        <w:object w:dxaOrig="1180" w:dyaOrig="780">
          <v:shape id="_x0000_i1027" type="#_x0000_t75" style="width:59.25pt;height:39.75pt" o:ole="">
            <v:imagedata r:id="rId9" o:title=""/>
          </v:shape>
          <o:OLEObject Type="Embed" ProgID="Equation.3" ShapeID="_x0000_i1027" DrawAspect="Content" ObjectID="_1491768958" r:id="rId10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;                        (1)</w:t>
      </w: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2400" w:dyaOrig="440">
          <v:shape id="_x0000_i1028" type="#_x0000_t75" style="width:135.75pt;height:24pt" o:ole="">
            <v:imagedata r:id="rId11" o:title=""/>
          </v:shape>
          <o:OLEObject Type="Embed" ProgID="Equation.3" ShapeID="_x0000_i1028" DrawAspect="Content" ObjectID="_1491768959" r:id="rId12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; 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2120" w:dyaOrig="440">
          <v:shape id="_x0000_i1029" type="#_x0000_t75" style="width:108pt;height:21.75pt" o:ole="">
            <v:imagedata r:id="rId13" o:title=""/>
          </v:shape>
          <o:OLEObject Type="Embed" ProgID="Equation.3" ShapeID="_x0000_i1029" DrawAspect="Content" ObjectID="_1491768960" r:id="rId14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;                       (2)</w:t>
      </w: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</w:t>
      </w:r>
      <w:r w:rsidRPr="00F0607B">
        <w:rPr>
          <w:rFonts w:ascii="Times New Roman" w:hAnsi="Times New Roman" w:cs="Times New Roman"/>
          <w:spacing w:val="2"/>
          <w:position w:val="-44"/>
          <w:sz w:val="28"/>
          <w:szCs w:val="28"/>
        </w:rPr>
        <w:object w:dxaOrig="3940" w:dyaOrig="940">
          <v:shape id="_x0000_i1030" type="#_x0000_t75" style="width:185.25pt;height:45pt" o:ole="">
            <v:imagedata r:id="rId15" o:title=""/>
          </v:shape>
          <o:OLEObject Type="Embed" ProgID="Equation.3" ShapeID="_x0000_i1030" DrawAspect="Content" ObjectID="_1491768961" r:id="rId16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(3)</w:t>
      </w:r>
    </w:p>
    <w:p w:rsidR="00F554CC" w:rsidRPr="00F0607B" w:rsidRDefault="00F554CC" w:rsidP="009F110A">
      <w:pPr>
        <w:spacing w:line="360" w:lineRule="auto"/>
        <w:ind w:firstLine="612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F554CC" w:rsidRPr="00F0607B" w:rsidRDefault="00F554CC" w:rsidP="009F110A">
      <w:pPr>
        <w:spacing w:line="360" w:lineRule="auto"/>
        <w:ind w:firstLine="612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де </w:t>
      </w:r>
      <w:r w:rsidRPr="00F0607B">
        <w:rPr>
          <w:rFonts w:ascii="Times New Roman" w:hAnsi="Times New Roman" w:cs="Times New Roman"/>
          <w:spacing w:val="2"/>
          <w:position w:val="-16"/>
          <w:sz w:val="28"/>
          <w:szCs w:val="28"/>
        </w:rPr>
        <w:object w:dxaOrig="420" w:dyaOrig="420">
          <v:shape id="_x0000_i1031" type="#_x0000_t75" style="width:24pt;height:24pt" o:ole="">
            <v:imagedata r:id="rId17" o:title=""/>
          </v:shape>
          <o:OLEObject Type="Embed" ProgID="Equation.3" ShapeID="_x0000_i1031" DrawAspect="Content" ObjectID="_1491768962" r:id="rId18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0607B">
        <w:rPr>
          <w:rFonts w:ascii="Times New Roman" w:hAnsi="Times New Roman" w:cs="Times New Roman"/>
          <w:spacing w:val="2"/>
          <w:position w:val="-20"/>
          <w:sz w:val="28"/>
          <w:szCs w:val="28"/>
        </w:rPr>
        <w:object w:dxaOrig="540" w:dyaOrig="460">
          <v:shape id="_x0000_i1032" type="#_x0000_t75" style="width:30.75pt;height:25.5pt" o:ole="">
            <v:imagedata r:id="rId19" o:title=""/>
          </v:shape>
          <o:OLEObject Type="Embed" ProgID="Equation.3" ShapeID="_x0000_i1032" DrawAspect="Content" ObjectID="_1491768963" r:id="rId20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420" w:dyaOrig="380">
          <v:shape id="_x0000_i1033" type="#_x0000_t75" style="width:24pt;height:21.75pt" o:ole="">
            <v:imagedata r:id="rId21" o:title=""/>
          </v:shape>
          <o:OLEObject Type="Embed" ProgID="Equation.3" ShapeID="_x0000_i1033" DrawAspect="Content" ObjectID="_1491768964" r:id="rId22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1480" w:dyaOrig="380">
          <v:shape id="_x0000_i1034" type="#_x0000_t75" style="width:85.5pt;height:21.75pt" o:ole="">
            <v:imagedata r:id="rId23" o:title=""/>
          </v:shape>
          <o:OLEObject Type="Embed" ProgID="Equation.3" ShapeID="_x0000_i1034" DrawAspect="Content" ObjectID="_1491768965" r:id="rId24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0607B">
        <w:rPr>
          <w:rFonts w:ascii="Times New Roman" w:hAnsi="Times New Roman" w:cs="Times New Roman"/>
          <w:spacing w:val="2"/>
          <w:position w:val="-16"/>
          <w:sz w:val="28"/>
          <w:szCs w:val="28"/>
        </w:rPr>
        <w:object w:dxaOrig="1500" w:dyaOrig="420">
          <v:shape id="_x0000_i1035" type="#_x0000_t75" style="width:85.5pt;height:24pt" o:ole="">
            <v:imagedata r:id="rId25" o:title=""/>
          </v:shape>
          <o:OLEObject Type="Embed" ProgID="Equation.3" ShapeID="_x0000_i1035" DrawAspect="Content" ObjectID="_1491768966" r:id="rId26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- відповідно параметри мікрокліматичної мінливості суми сумарної, фотосинтетично активної радіації і радіаційного балансу, сум денних і нічних температур повітря, випаровуваності, випаровування і запасів продуктивної вологи; </w:t>
      </w:r>
      <w:r w:rsidRPr="00F0607B">
        <w:rPr>
          <w:rFonts w:ascii="Times New Roman" w:hAnsi="Times New Roman" w:cs="Times New Roman"/>
          <w:spacing w:val="2"/>
          <w:position w:val="-16"/>
          <w:sz w:val="28"/>
          <w:szCs w:val="28"/>
        </w:rPr>
        <w:object w:dxaOrig="1700" w:dyaOrig="420">
          <v:shape id="_x0000_i1036" type="#_x0000_t75" style="width:72.75pt;height:18.75pt" o:ole="">
            <v:imagedata r:id="rId27" o:title=""/>
          </v:shape>
          <o:OLEObject Type="Embed" ProgID="Equation.3" ShapeID="_x0000_i1036" DrawAspect="Content" ObjectID="_1491768967" r:id="rId28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1080" w:dyaOrig="380">
          <v:shape id="_x0000_i1037" type="#_x0000_t75" style="width:54pt;height:18.75pt" o:ole="">
            <v:imagedata r:id="rId29" o:title=""/>
          </v:shape>
          <o:OLEObject Type="Embed" ProgID="Equation.3" ShapeID="_x0000_i1037" DrawAspect="Content" ObjectID="_1491768968" r:id="rId30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1120" w:dyaOrig="380">
          <v:shape id="_x0000_i1038" type="#_x0000_t75" style="width:56.25pt;height:18.75pt" o:ole="">
            <v:imagedata r:id="rId31" o:title=""/>
          </v:shape>
          <o:OLEObject Type="Embed" ProgID="Equation.3" ShapeID="_x0000_i1038" DrawAspect="Content" ObjectID="_1491768969" r:id="rId32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- суми сумарної, фотосинтетично активної радіації та радіаційного балансу, денних і нічних температур повітря, випаровуваність, випаровування і запаси продуктивної вологи в різних місцеположеннях;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499" w:dyaOrig="440">
          <v:shape id="_x0000_i1039" type="#_x0000_t75" style="width:21.75pt;height:18.75pt" o:ole="">
            <v:imagedata r:id="rId33" o:title=""/>
          </v:shape>
          <o:OLEObject Type="Embed" ProgID="Equation.3" ShapeID="_x0000_i1039" DrawAspect="Content" ObjectID="_1491768970" r:id="rId34"/>
        </w:object>
      </w:r>
      <w:r w:rsidRPr="00F0607B">
        <w:rPr>
          <w:rFonts w:ascii="Times New Roman" w:hAnsi="Times New Roman" w:cs="Times New Roman"/>
          <w:spacing w:val="2"/>
          <w:position w:val="-16"/>
          <w:sz w:val="28"/>
          <w:szCs w:val="28"/>
        </w:rPr>
        <w:object w:dxaOrig="620" w:dyaOrig="480">
          <v:shape id="_x0000_i1040" type="#_x0000_t75" style="width:27pt;height:21pt" o:ole="">
            <v:imagedata r:id="rId35" o:title=""/>
          </v:shape>
          <o:OLEObject Type="Embed" ProgID="Equation.3" ShapeID="_x0000_i1040" DrawAspect="Content" ObjectID="_1491768971" r:id="rId36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F0607B">
        <w:rPr>
          <w:rFonts w:ascii="Times New Roman" w:hAnsi="Times New Roman" w:cs="Times New Roman"/>
          <w:spacing w:val="2"/>
          <w:position w:val="-4"/>
          <w:sz w:val="28"/>
          <w:szCs w:val="28"/>
        </w:rPr>
        <w:object w:dxaOrig="420" w:dyaOrig="360">
          <v:shape id="_x0000_i1041" type="#_x0000_t75" style="width:18pt;height:15pt" o:ole="">
            <v:imagedata r:id="rId37" o:title=""/>
          </v:shape>
          <o:OLEObject Type="Embed" ProgID="Equation.3" ShapeID="_x0000_i1041" DrawAspect="Content" ObjectID="_1491768972" r:id="rId38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620" w:dyaOrig="440">
          <v:shape id="_x0000_i1042" type="#_x0000_t75" style="width:27pt;height:18.75pt" o:ole="">
            <v:imagedata r:id="rId39" o:title=""/>
          </v:shape>
          <o:OLEObject Type="Embed" ProgID="Equation.3" ShapeID="_x0000_i1042" DrawAspect="Content" ObjectID="_1491768973" r:id="rId40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540" w:dyaOrig="440">
          <v:shape id="_x0000_i1043" type="#_x0000_t75" style="width:23.25pt;height:18.75pt" o:ole="">
            <v:imagedata r:id="rId41" o:title=""/>
          </v:shape>
          <o:OLEObject Type="Embed" ProgID="Equation.3" ShapeID="_x0000_i1043" DrawAspect="Content" ObjectID="_1491768974" r:id="rId42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420" w:dyaOrig="480">
          <v:shape id="_x0000_i1044" type="#_x0000_t75" style="width:18.75pt;height:21pt" o:ole="">
            <v:imagedata r:id="rId43" o:title=""/>
          </v:shape>
          <o:OLEObject Type="Embed" ProgID="Equation.3" ShapeID="_x0000_i1044" DrawAspect="Content" ObjectID="_1491768975" r:id="rId44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0607B">
        <w:rPr>
          <w:rFonts w:ascii="Times New Roman" w:hAnsi="Times New Roman" w:cs="Times New Roman"/>
          <w:spacing w:val="2"/>
          <w:position w:val="-4"/>
          <w:sz w:val="28"/>
          <w:szCs w:val="28"/>
        </w:rPr>
        <w:object w:dxaOrig="260" w:dyaOrig="360">
          <v:shape id="_x0000_i1045" type="#_x0000_t75" style="width:10.5pt;height:15pt" o:ole="">
            <v:imagedata r:id="rId45" o:title=""/>
          </v:shape>
          <o:OLEObject Type="Embed" ProgID="Equation.3" ShapeID="_x0000_i1045" DrawAspect="Content" ObjectID="_1491768976" r:id="rId46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0607B">
        <w:rPr>
          <w:rFonts w:ascii="Times New Roman" w:hAnsi="Times New Roman" w:cs="Times New Roman"/>
          <w:spacing w:val="2"/>
          <w:position w:val="-6"/>
          <w:sz w:val="28"/>
          <w:szCs w:val="28"/>
        </w:rPr>
        <w:object w:dxaOrig="320" w:dyaOrig="380">
          <v:shape id="_x0000_i1046" type="#_x0000_t75" style="width:13.5pt;height:15.75pt" o:ole="">
            <v:imagedata r:id="rId47" o:title=""/>
          </v:shape>
          <o:OLEObject Type="Embed" ProgID="Equation.3" ShapeID="_x0000_i1046" DrawAspect="Content" ObjectID="_1491768977" r:id="rId48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- суми сумарної, фотосинтетично активної радіації і радіаційного балансу, суми денних і нічних температур повітря, випаровуваність, випаровування і запаси продуктивної вологи на рівному місці</w:t>
      </w:r>
    </w:p>
    <w:p w:rsidR="00F554CC" w:rsidRPr="00F0607B" w:rsidRDefault="00F554CC" w:rsidP="009F110A">
      <w:pPr>
        <w:spacing w:line="360" w:lineRule="auto"/>
        <w:ind w:firstLine="612"/>
        <w:jc w:val="both"/>
        <w:rPr>
          <w:rFonts w:ascii="Times New Roman" w:hAnsi="Times New Roman" w:cs="Times New Roman"/>
          <w:spacing w:val="2"/>
          <w:sz w:val="28"/>
          <w:szCs w:val="28"/>
          <w:lang w:val="ru-RU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>Детальна оцінка агрокліматичних ресурсів території з врахуванням їх просторової мінливості зводиться до мікрокліматичних розрахунків за формулами:</w:t>
      </w: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r w:rsidRPr="00F0607B">
        <w:rPr>
          <w:rFonts w:ascii="Times New Roman" w:hAnsi="Times New Roman" w:cs="Times New Roman"/>
          <w:spacing w:val="2"/>
          <w:position w:val="-16"/>
          <w:sz w:val="28"/>
          <w:szCs w:val="28"/>
        </w:rPr>
        <w:object w:dxaOrig="1579" w:dyaOrig="480">
          <v:shape id="_x0000_i1047" type="#_x0000_t75" style="width:78pt;height:24pt" o:ole="">
            <v:imagedata r:id="rId49" o:title=""/>
          </v:shape>
          <o:OLEObject Type="Embed" ProgID="Equation.3" ShapeID="_x0000_i1047" DrawAspect="Content" ObjectID="_1491768978" r:id="rId50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;     </w:t>
      </w:r>
      <w:r w:rsidRPr="00F0607B">
        <w:rPr>
          <w:rFonts w:ascii="Times New Roman" w:hAnsi="Times New Roman" w:cs="Times New Roman"/>
          <w:spacing w:val="2"/>
          <w:position w:val="-20"/>
          <w:sz w:val="28"/>
          <w:szCs w:val="28"/>
        </w:rPr>
        <w:object w:dxaOrig="1939" w:dyaOrig="520">
          <v:shape id="_x0000_i1048" type="#_x0000_t75" style="width:86.25pt;height:23.25pt" o:ole="">
            <v:imagedata r:id="rId51" o:title=""/>
          </v:shape>
          <o:OLEObject Type="Embed" ProgID="Equation.3" ShapeID="_x0000_i1048" DrawAspect="Content" ObjectID="_1491768979" r:id="rId52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; 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1380" w:dyaOrig="440">
          <v:shape id="_x0000_i1049" type="#_x0000_t75" style="width:69pt;height:21.75pt" o:ole="">
            <v:imagedata r:id="rId53" o:title=""/>
          </v:shape>
          <o:OLEObject Type="Embed" ProgID="Equation.3" ShapeID="_x0000_i1049" DrawAspect="Content" ObjectID="_1491768980" r:id="rId54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(4)</w:t>
      </w: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2400" w:dyaOrig="440">
          <v:shape id="_x0000_i1050" type="#_x0000_t75" style="width:103.5pt;height:18.75pt" o:ole="">
            <v:imagedata r:id="rId55" o:title=""/>
          </v:shape>
          <o:OLEObject Type="Embed" ProgID="Equation.3" ShapeID="_x0000_i1050" DrawAspect="Content" ObjectID="_1491768981" r:id="rId56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;   </w:t>
      </w:r>
      <w:r w:rsidRPr="00100B71">
        <w:rPr>
          <w:rFonts w:ascii="Times New Roman" w:hAnsi="Times New Roman" w:cs="Times New Roman"/>
          <w:spacing w:val="2"/>
          <w:sz w:val="28"/>
          <w:szCs w:val="28"/>
        </w:rPr>
        <w:pict>
          <v:shape id="_x0000_i1051" type="#_x0000_t75" style="width:93pt;height:17.25pt">
            <v:imagedata r:id="rId57" o:title=""/>
          </v:shape>
        </w:pi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;                       (5)</w:t>
      </w: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r w:rsidRPr="00F0607B">
        <w:rPr>
          <w:rFonts w:ascii="Times New Roman" w:hAnsi="Times New Roman" w:cs="Times New Roman"/>
          <w:spacing w:val="2"/>
          <w:position w:val="-16"/>
          <w:sz w:val="28"/>
          <w:szCs w:val="28"/>
        </w:rPr>
        <w:object w:dxaOrig="3739" w:dyaOrig="520">
          <v:shape id="_x0000_i1052" type="#_x0000_t75" style="width:166.5pt;height:23.25pt" o:ole="">
            <v:imagedata r:id="rId58" o:title=""/>
          </v:shape>
          <o:OLEObject Type="Embed" ProgID="Equation.3" ShapeID="_x0000_i1052" DrawAspect="Content" ObjectID="_1491768982" r:id="rId59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object w:dxaOrig="1540" w:dyaOrig="440">
          <v:shape id="_x0000_i1053" type="#_x0000_t75" style="width:66pt;height:18.75pt" o:ole="">
            <v:imagedata r:id="rId60" o:title=""/>
          </v:shape>
          <o:OLEObject Type="Embed" ProgID="Equation.3" ShapeID="_x0000_i1053" DrawAspect="Content" ObjectID="_1491768983" r:id="rId61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(6)</w:t>
      </w:r>
    </w:p>
    <w:p w:rsidR="00F554CC" w:rsidRPr="00F0607B" w:rsidRDefault="00F554CC" w:rsidP="009F110A">
      <w:pPr>
        <w:spacing w:line="360" w:lineRule="auto"/>
        <w:ind w:right="-144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>Найбільша просторова мінливість під впливом елементів підстильної поверхні притаманна лімітуючим агрокліматичним факторам – умовам морозо- і заморозконебезпечності, основними показниками яких є середній із абсолютних мінімумів температури повітря (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T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vertAlign w:val="subscript"/>
          <w:lang w:val="en-US"/>
        </w:rPr>
        <w:t>M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), дати весняних і осінніх заморозків (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D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vertAlign w:val="subscript"/>
        </w:rPr>
        <w:t xml:space="preserve">В, 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D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vertAlign w:val="subscript"/>
        </w:rPr>
        <w:t>О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), інтенсивність заморозків (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</w:rPr>
        <w:t>І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vertAlign w:val="subscript"/>
        </w:rPr>
        <w:t>В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</w:rPr>
        <w:t>, І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vertAlign w:val="subscript"/>
        </w:rPr>
        <w:t>О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), тривалість беззаморозкового періоду (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lang w:val="en-US"/>
        </w:rPr>
        <w:t>N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vertAlign w:val="subscript"/>
        </w:rPr>
        <w:t>БП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) і сума температур за беззаморозковий період (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</w:rPr>
        <w:t>ΣТ</w:t>
      </w:r>
      <w:r w:rsidRPr="00F0607B">
        <w:rPr>
          <w:rFonts w:ascii="Times New Roman" w:hAnsi="Times New Roman" w:cs="Times New Roman"/>
          <w:i/>
          <w:spacing w:val="2"/>
          <w:sz w:val="28"/>
          <w:szCs w:val="28"/>
          <w:vertAlign w:val="subscript"/>
        </w:rPr>
        <w:t>БП</w: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>). Розрахунок цих показників здійснюється за відповідними формулами:</w:t>
      </w:r>
    </w:p>
    <w:p w:rsidR="00F554CC" w:rsidRPr="00F0607B" w:rsidRDefault="00F554CC" w:rsidP="009F110A">
      <w:pPr>
        <w:spacing w:line="360" w:lineRule="auto"/>
        <w:ind w:right="-144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</w:t>
      </w:r>
      <w:r w:rsidRPr="00F0607B">
        <w:rPr>
          <w:rFonts w:ascii="Times New Roman" w:hAnsi="Times New Roman" w:cs="Times New Roman"/>
          <w:iCs/>
          <w:position w:val="-10"/>
          <w:sz w:val="28"/>
          <w:szCs w:val="28"/>
        </w:rPr>
        <w:object w:dxaOrig="1660" w:dyaOrig="360">
          <v:shape id="_x0000_i1054" type="#_x0000_t75" style="width:87pt;height:23.25pt" o:ole="">
            <v:imagedata r:id="rId62" o:title=""/>
          </v:shape>
          <o:OLEObject Type="Embed" ProgID="Equation.3" ShapeID="_x0000_i1054" DrawAspect="Content" ObjectID="_1491768984" r:id="rId63"/>
        </w:object>
      </w:r>
      <w:r w:rsidRPr="00F0607B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(7)</w:t>
      </w:r>
    </w:p>
    <w:p w:rsidR="00F554CC" w:rsidRPr="00F0607B" w:rsidRDefault="00F554CC" w:rsidP="009F110A">
      <w:pPr>
        <w:spacing w:line="360" w:lineRule="auto"/>
        <w:ind w:firstLine="612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0607B">
        <w:rPr>
          <w:rFonts w:ascii="Times New Roman" w:hAnsi="Times New Roman" w:cs="Times New Roman"/>
          <w:iCs/>
          <w:sz w:val="28"/>
          <w:szCs w:val="28"/>
        </w:rPr>
        <w:t xml:space="preserve">                         </w:t>
      </w:r>
      <w:r w:rsidRPr="00F0607B">
        <w:rPr>
          <w:rFonts w:ascii="Times New Roman" w:hAnsi="Times New Roman" w:cs="Times New Roman"/>
          <w:iCs/>
          <w:position w:val="-10"/>
          <w:sz w:val="28"/>
          <w:szCs w:val="28"/>
        </w:rPr>
        <w:object w:dxaOrig="1600" w:dyaOrig="420">
          <v:shape id="_x0000_i1055" type="#_x0000_t75" style="width:74.25pt;height:26.25pt" o:ole="">
            <v:imagedata r:id="rId64" o:title="" cropleft="4628f"/>
          </v:shape>
          <o:OLEObject Type="Embed" ProgID="Equation.3" ShapeID="_x0000_i1055" DrawAspect="Content" ObjectID="_1491768985" r:id="rId65"/>
        </w:object>
      </w:r>
      <w:r w:rsidRPr="00F0607B">
        <w:rPr>
          <w:rFonts w:ascii="Times New Roman" w:hAnsi="Times New Roman" w:cs="Times New Roman"/>
          <w:iCs/>
          <w:sz w:val="28"/>
          <w:szCs w:val="28"/>
        </w:rPr>
        <w:t xml:space="preserve">;  </w:t>
      </w:r>
      <w:r w:rsidRPr="00F0607B">
        <w:rPr>
          <w:rFonts w:ascii="Times New Roman" w:hAnsi="Times New Roman" w:cs="Times New Roman"/>
          <w:iCs/>
          <w:sz w:val="28"/>
          <w:szCs w:val="28"/>
        </w:rPr>
        <w:object w:dxaOrig="1660" w:dyaOrig="440">
          <v:shape id="_x0000_i1056" type="#_x0000_t75" style="width:78pt;height:25.5pt" o:ole="">
            <v:imagedata r:id="rId66" o:title=""/>
          </v:shape>
          <o:OLEObject Type="Embed" ProgID="Equation.3" ShapeID="_x0000_i1056" DrawAspect="Content" ObjectID="_1491768986" r:id="rId67"/>
        </w:object>
      </w:r>
      <w:r w:rsidRPr="00F0607B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F0607B">
        <w:rPr>
          <w:rFonts w:ascii="Times New Roman" w:hAnsi="Times New Roman" w:cs="Times New Roman"/>
          <w:iCs/>
          <w:sz w:val="28"/>
          <w:szCs w:val="28"/>
        </w:rPr>
        <w:t xml:space="preserve">       (8)</w:t>
      </w:r>
    </w:p>
    <w:p w:rsidR="00F554CC" w:rsidRPr="00F0607B" w:rsidRDefault="00F554CC" w:rsidP="009F110A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0607B">
        <w:rPr>
          <w:rFonts w:ascii="Times New Roman" w:hAnsi="Times New Roman" w:cs="Times New Roman"/>
          <w:iCs/>
          <w:sz w:val="28"/>
          <w:szCs w:val="28"/>
        </w:rPr>
        <w:t xml:space="preserve">                           </w:t>
      </w:r>
      <w:r w:rsidRPr="00F0607B">
        <w:rPr>
          <w:rFonts w:ascii="Times New Roman" w:hAnsi="Times New Roman" w:cs="Times New Roman"/>
          <w:iCs/>
          <w:position w:val="-10"/>
          <w:sz w:val="28"/>
          <w:szCs w:val="28"/>
        </w:rPr>
        <w:object w:dxaOrig="1420" w:dyaOrig="380">
          <v:shape id="_x0000_i1057" type="#_x0000_t75" style="width:78pt;height:25.5pt" o:ole="">
            <v:imagedata r:id="rId68" o:title=""/>
          </v:shape>
          <o:OLEObject Type="Embed" ProgID="Equation.3" ShapeID="_x0000_i1057" DrawAspect="Content" ObjectID="_1491768987" r:id="rId69"/>
        </w:object>
      </w:r>
      <w:r w:rsidRPr="00F0607B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F0607B">
        <w:rPr>
          <w:rFonts w:ascii="Times New Roman" w:hAnsi="Times New Roman" w:cs="Times New Roman"/>
          <w:iCs/>
          <w:position w:val="-16"/>
          <w:sz w:val="28"/>
          <w:szCs w:val="28"/>
        </w:rPr>
        <w:object w:dxaOrig="1520" w:dyaOrig="440">
          <v:shape id="_x0000_i1058" type="#_x0000_t75" style="width:78.75pt;height:27.75pt" o:ole="">
            <v:imagedata r:id="rId70" o:title=""/>
          </v:shape>
          <o:OLEObject Type="Embed" ProgID="Equation.3" ShapeID="_x0000_i1058" DrawAspect="Content" ObjectID="_1491768988" r:id="rId71"/>
        </w:object>
      </w:r>
      <w:r w:rsidRPr="00F0607B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(9)</w:t>
      </w:r>
    </w:p>
    <w:p w:rsidR="00F554CC" w:rsidRDefault="00F554CC" w:rsidP="009F110A">
      <w:pPr>
        <w:spacing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0607B">
        <w:rPr>
          <w:rFonts w:ascii="Times New Roman" w:hAnsi="Times New Roman" w:cs="Times New Roman"/>
          <w:iCs/>
          <w:sz w:val="28"/>
          <w:szCs w:val="28"/>
        </w:rPr>
        <w:t xml:space="preserve">                       </w:t>
      </w:r>
      <w:r w:rsidRPr="00F0607B">
        <w:rPr>
          <w:rFonts w:ascii="Times New Roman" w:hAnsi="Times New Roman" w:cs="Times New Roman"/>
          <w:iCs/>
          <w:position w:val="-6"/>
          <w:sz w:val="28"/>
          <w:szCs w:val="28"/>
        </w:rPr>
        <w:object w:dxaOrig="1440" w:dyaOrig="340">
          <v:shape id="_x0000_i1059" type="#_x0000_t75" style="width:72.75pt;height:21pt" o:ole="">
            <v:imagedata r:id="rId72" o:title=""/>
          </v:shape>
          <o:OLEObject Type="Embed" ProgID="Equation.3" ShapeID="_x0000_i1059" DrawAspect="Content" ObjectID="_1491768989" r:id="rId73"/>
        </w:object>
      </w:r>
      <w:r w:rsidRPr="00F0607B">
        <w:rPr>
          <w:rFonts w:ascii="Times New Roman" w:hAnsi="Times New Roman" w:cs="Times New Roman"/>
          <w:iCs/>
          <w:sz w:val="28"/>
          <w:szCs w:val="28"/>
        </w:rPr>
        <w:t xml:space="preserve">;   </w:t>
      </w:r>
      <w:r w:rsidRPr="00F0607B">
        <w:rPr>
          <w:rFonts w:ascii="Times New Roman" w:hAnsi="Times New Roman" w:cs="Times New Roman"/>
          <w:spacing w:val="2"/>
          <w:position w:val="-10"/>
          <w:sz w:val="28"/>
          <w:szCs w:val="28"/>
        </w:rPr>
        <w:object w:dxaOrig="2200" w:dyaOrig="380">
          <v:shape id="_x0000_i1060" type="#_x0000_t75" style="width:126.75pt;height:21.75pt" o:ole="">
            <v:imagedata r:id="rId74" o:title=""/>
          </v:shape>
          <o:OLEObject Type="Embed" ProgID="Equation.3" ShapeID="_x0000_i1060" DrawAspect="Content" ObjectID="_1491768990" r:id="rId75"/>
        </w:object>
      </w:r>
      <w:r w:rsidRPr="00F0607B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(10)</w:t>
      </w:r>
    </w:p>
    <w:p w:rsidR="00F554CC" w:rsidRDefault="00F554CC" w:rsidP="009F11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5A4">
        <w:rPr>
          <w:rFonts w:ascii="Times New Roman" w:hAnsi="Times New Roman" w:cs="Times New Roman"/>
          <w:b/>
          <w:spacing w:val="2"/>
          <w:sz w:val="28"/>
          <w:szCs w:val="28"/>
        </w:rPr>
        <w:t>Обговорення результатів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Досліджувана територія землекористування Надлиманської сільської ради відноситься до ландшафтної області Дністровсько-Бузького низовинного степу Причорноморської середньостепової провінції</w:t>
      </w:r>
      <w:r w:rsidRPr="00DE04B7">
        <w:rPr>
          <w:rFonts w:ascii="Times New Roman" w:hAnsi="Times New Roman" w:cs="Times New Roman"/>
          <w:sz w:val="28"/>
          <w:szCs w:val="28"/>
        </w:rPr>
        <w:t xml:space="preserve"> [1]</w:t>
      </w:r>
      <w:r>
        <w:rPr>
          <w:rFonts w:ascii="Times New Roman" w:hAnsi="Times New Roman" w:cs="Times New Roman"/>
          <w:sz w:val="28"/>
          <w:szCs w:val="28"/>
        </w:rPr>
        <w:t>. Вона розташована вздовж Дністровського лиману. Більшу частину території складає підвищений вододільне плато, який у східній частині з північного заходу на південний схід перетинає незначна за глибиною вертикального розчленування (∆Н = 20-</w:t>
      </w:r>
      <w:smartTag w:uri="urn:schemas-microsoft-com:office:smarttags" w:element="metricconverter">
        <w:smartTagPr>
          <w:attr w:name="ProductID" w:val="35 м"/>
        </w:smartTagPr>
        <w:r>
          <w:rPr>
            <w:rFonts w:ascii="Times New Roman" w:hAnsi="Times New Roman" w:cs="Times New Roman"/>
            <w:sz w:val="28"/>
            <w:szCs w:val="28"/>
          </w:rPr>
          <w:t>35 м</w:t>
        </w:r>
      </w:smartTag>
      <w:r>
        <w:rPr>
          <w:rFonts w:ascii="Times New Roman" w:hAnsi="Times New Roman" w:cs="Times New Roman"/>
          <w:sz w:val="28"/>
          <w:szCs w:val="28"/>
        </w:rPr>
        <w:t>) балка. В західній і північно-західній частині території спостерігається значне зниження у вигляді Дністровських терас. Глибина вертикального розчленування в цій частині, яка становить 1/3 від усієї території, досягає 60-</w:t>
      </w:r>
      <w:smartTag w:uri="urn:schemas-microsoft-com:office:smarttags" w:element="metricconverter">
        <w:smartTagPr>
          <w:attr w:name="ProductID" w:val="100 м"/>
        </w:smartTagPr>
        <w:r>
          <w:rPr>
            <w:rFonts w:ascii="Times New Roman" w:hAnsi="Times New Roman" w:cs="Times New Roman"/>
            <w:sz w:val="28"/>
            <w:szCs w:val="28"/>
          </w:rPr>
          <w:t>100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а стрімкість схилів змінюється від 1-2 до 10º. Довжина схилів з південної на північний схід зростає від 300-400 до </w:t>
      </w:r>
      <w:smartTag w:uri="urn:schemas-microsoft-com:office:smarttags" w:element="metricconverter">
        <w:smartTagPr>
          <w:attr w:name="ProductID" w:val="1000 м"/>
        </w:smartTagPr>
        <w:r>
          <w:rPr>
            <w:rFonts w:ascii="Times New Roman" w:hAnsi="Times New Roman" w:cs="Times New Roman"/>
            <w:sz w:val="28"/>
            <w:szCs w:val="28"/>
          </w:rPr>
          <w:t>1000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проведеної інвентаризації земель для досліджуваної території надано у вигляді експлікації (табл.1 і 2). Наочно видно, що найбільші площі займають вододільне плато і схили крутизною 1-2º південно-західної і західної експозиції. В наявності також схили північної, східної і південної експозиції крутизною до 10º, дно долин, балок і яруг.</w:t>
      </w:r>
      <w:r w:rsidRPr="00D27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наступному етапі проведена комплексна екологічна оцінка території за рельєфом місцевості, який включає форму рельєфу, експозицію та стрімкість схилів. Виділено чотири райони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35FF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), екологічна оцінка яких змінюється від 1 до 4 балів (табл.3). Найбільшу площу займають  другий та четвертий райони, відповідно 38,84 і 25,49 % загальної площі земель сільської ради з екологічною оцінкою 4 і 1 бали.</w:t>
      </w: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A6B">
        <w:rPr>
          <w:rFonts w:ascii="Times New Roman" w:hAnsi="Times New Roman" w:cs="Times New Roman"/>
          <w:b/>
          <w:sz w:val="28"/>
          <w:szCs w:val="28"/>
        </w:rPr>
        <w:t xml:space="preserve">Таблиця </w:t>
      </w: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45A6B">
        <w:rPr>
          <w:rFonts w:ascii="Times New Roman" w:hAnsi="Times New Roman" w:cs="Times New Roman"/>
          <w:b/>
          <w:sz w:val="28"/>
          <w:szCs w:val="28"/>
        </w:rPr>
        <w:t xml:space="preserve"> Експлікація земель за експозицією схилів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43"/>
        <w:gridCol w:w="5355"/>
        <w:gridCol w:w="1359"/>
        <w:gridCol w:w="1530"/>
      </w:tblGrid>
      <w:tr w:rsidR="00F554CC" w:rsidTr="00007E9F">
        <w:tc>
          <w:tcPr>
            <w:tcW w:w="1043" w:type="dxa"/>
            <w:vMerge w:val="restart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5355" w:type="dxa"/>
            <w:vMerge w:val="restart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Форми і елементи рельєфу</w:t>
            </w:r>
          </w:p>
        </w:tc>
        <w:tc>
          <w:tcPr>
            <w:tcW w:w="2889" w:type="dxa"/>
            <w:gridSpan w:val="2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Площа</w:t>
            </w:r>
          </w:p>
        </w:tc>
      </w:tr>
      <w:tr w:rsidR="00F554CC" w:rsidTr="00007E9F">
        <w:tc>
          <w:tcPr>
            <w:tcW w:w="1043" w:type="dxa"/>
            <w:vMerge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5" w:type="dxa"/>
            <w:vMerge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4CC" w:rsidTr="00007E9F">
        <w:tc>
          <w:tcPr>
            <w:tcW w:w="1043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5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Вододільне плато</w:t>
            </w: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1517,38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50,72</w:t>
            </w:r>
          </w:p>
        </w:tc>
      </w:tr>
      <w:tr w:rsidR="00F554CC" w:rsidTr="00007E9F">
        <w:tc>
          <w:tcPr>
            <w:tcW w:w="1043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5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Південна експозиція</w:t>
            </w: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148,232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4,95</w:t>
            </w:r>
          </w:p>
        </w:tc>
      </w:tr>
      <w:tr w:rsidR="00F554CC" w:rsidTr="00007E9F">
        <w:tc>
          <w:tcPr>
            <w:tcW w:w="1043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55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Південно-західна експозиція</w:t>
            </w: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414,252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13,85</w:t>
            </w:r>
          </w:p>
        </w:tc>
      </w:tr>
      <w:tr w:rsidR="00F554CC" w:rsidTr="00007E9F">
        <w:tc>
          <w:tcPr>
            <w:tcW w:w="1043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55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Західна</w:t>
            </w: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472,273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15,78</w:t>
            </w:r>
          </w:p>
        </w:tc>
      </w:tr>
      <w:tr w:rsidR="00F554CC" w:rsidTr="00007E9F">
        <w:tc>
          <w:tcPr>
            <w:tcW w:w="1043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55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Східна</w:t>
            </w: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61,200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2,05</w:t>
            </w:r>
          </w:p>
        </w:tc>
      </w:tr>
      <w:tr w:rsidR="00F554CC" w:rsidTr="00007E9F">
        <w:tc>
          <w:tcPr>
            <w:tcW w:w="1043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55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Північно-східна</w:t>
            </w: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173,200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5,79</w:t>
            </w:r>
          </w:p>
        </w:tc>
      </w:tr>
      <w:tr w:rsidR="00F554CC" w:rsidTr="00007E9F">
        <w:tc>
          <w:tcPr>
            <w:tcW w:w="1043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5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Дослідження не проводилися</w:t>
            </w: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205,390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6,86</w:t>
            </w:r>
          </w:p>
        </w:tc>
      </w:tr>
      <w:tr w:rsidR="00F554CC" w:rsidTr="00007E9F">
        <w:tc>
          <w:tcPr>
            <w:tcW w:w="6398" w:type="dxa"/>
            <w:gridSpan w:val="2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35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2991,934</w:t>
            </w:r>
          </w:p>
        </w:tc>
        <w:tc>
          <w:tcPr>
            <w:tcW w:w="153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554CC" w:rsidRPr="00B45A6B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4CC" w:rsidRPr="00780440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440">
        <w:rPr>
          <w:rFonts w:ascii="Times New Roman" w:hAnsi="Times New Roman" w:cs="Times New Roman"/>
          <w:b/>
          <w:sz w:val="28"/>
          <w:szCs w:val="28"/>
        </w:rPr>
        <w:t xml:space="preserve">Таблиця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80440">
        <w:rPr>
          <w:rFonts w:ascii="Times New Roman" w:hAnsi="Times New Roman" w:cs="Times New Roman"/>
          <w:b/>
          <w:sz w:val="28"/>
          <w:szCs w:val="28"/>
        </w:rPr>
        <w:t>. Експлікація земель за стрімкістю схилів</w:t>
      </w:r>
    </w:p>
    <w:tbl>
      <w:tblPr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08"/>
        <w:gridCol w:w="2479"/>
        <w:gridCol w:w="1921"/>
        <w:gridCol w:w="1200"/>
      </w:tblGrid>
      <w:tr w:rsidR="00F554CC" w:rsidTr="00007E9F">
        <w:tc>
          <w:tcPr>
            <w:tcW w:w="908" w:type="dxa"/>
            <w:vMerge w:val="restart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2479" w:type="dxa"/>
            <w:vMerge w:val="restart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Стрімкість схилів</w:t>
            </w:r>
          </w:p>
        </w:tc>
        <w:tc>
          <w:tcPr>
            <w:tcW w:w="3121" w:type="dxa"/>
            <w:gridSpan w:val="2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Площа</w:t>
            </w:r>
          </w:p>
        </w:tc>
      </w:tr>
      <w:tr w:rsidR="00F554CC" w:rsidTr="00007E9F">
        <w:tc>
          <w:tcPr>
            <w:tcW w:w="908" w:type="dxa"/>
            <w:vMerge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vMerge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4CC" w:rsidTr="00007E9F">
        <w:tc>
          <w:tcPr>
            <w:tcW w:w="9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Вододільні плато</w:t>
            </w:r>
          </w:p>
        </w:tc>
        <w:tc>
          <w:tcPr>
            <w:tcW w:w="1921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1517,380</w:t>
            </w:r>
          </w:p>
        </w:tc>
        <w:tc>
          <w:tcPr>
            <w:tcW w:w="12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50,72</w:t>
            </w:r>
          </w:p>
        </w:tc>
      </w:tr>
      <w:tr w:rsidR="00F554CC" w:rsidTr="00007E9F">
        <w:tc>
          <w:tcPr>
            <w:tcW w:w="9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921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901,280</w:t>
            </w:r>
          </w:p>
        </w:tc>
        <w:tc>
          <w:tcPr>
            <w:tcW w:w="12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30,12</w:t>
            </w:r>
          </w:p>
        </w:tc>
      </w:tr>
      <w:tr w:rsidR="00F554CC" w:rsidTr="00007E9F">
        <w:tc>
          <w:tcPr>
            <w:tcW w:w="9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1921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172,910</w:t>
            </w:r>
          </w:p>
        </w:tc>
        <w:tc>
          <w:tcPr>
            <w:tcW w:w="12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5,78</w:t>
            </w:r>
          </w:p>
        </w:tc>
      </w:tr>
      <w:tr w:rsidR="00F554CC" w:rsidTr="00007E9F">
        <w:tc>
          <w:tcPr>
            <w:tcW w:w="9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6-8</w:t>
            </w:r>
          </w:p>
        </w:tc>
        <w:tc>
          <w:tcPr>
            <w:tcW w:w="1921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220,010</w:t>
            </w:r>
          </w:p>
        </w:tc>
        <w:tc>
          <w:tcPr>
            <w:tcW w:w="12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7,35</w:t>
            </w:r>
          </w:p>
        </w:tc>
      </w:tr>
      <w:tr w:rsidR="00F554CC" w:rsidTr="00007E9F">
        <w:tc>
          <w:tcPr>
            <w:tcW w:w="9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9-10 та більше</w:t>
            </w:r>
          </w:p>
        </w:tc>
        <w:tc>
          <w:tcPr>
            <w:tcW w:w="1921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168,210</w:t>
            </w:r>
          </w:p>
        </w:tc>
        <w:tc>
          <w:tcPr>
            <w:tcW w:w="12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5,62</w:t>
            </w:r>
          </w:p>
        </w:tc>
      </w:tr>
      <w:tr w:rsidR="00F554CC" w:rsidTr="00007E9F">
        <w:tc>
          <w:tcPr>
            <w:tcW w:w="9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Водні об’єкти</w:t>
            </w:r>
          </w:p>
        </w:tc>
        <w:tc>
          <w:tcPr>
            <w:tcW w:w="1921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12,144</w:t>
            </w:r>
          </w:p>
        </w:tc>
        <w:tc>
          <w:tcPr>
            <w:tcW w:w="12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0,41</w:t>
            </w:r>
          </w:p>
        </w:tc>
      </w:tr>
      <w:tr w:rsidR="00F554CC" w:rsidTr="00007E9F">
        <w:tc>
          <w:tcPr>
            <w:tcW w:w="9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921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2991,934</w:t>
            </w:r>
          </w:p>
        </w:tc>
        <w:tc>
          <w:tcPr>
            <w:tcW w:w="12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54CC" w:rsidRPr="00780440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440">
        <w:rPr>
          <w:rFonts w:ascii="Times New Roman" w:hAnsi="Times New Roman" w:cs="Times New Roman"/>
          <w:b/>
          <w:sz w:val="28"/>
          <w:szCs w:val="28"/>
        </w:rPr>
        <w:t>Таблиця 3. Екологічна оцінка земель за елементами рельєфу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8"/>
        <w:gridCol w:w="3779"/>
        <w:gridCol w:w="1800"/>
        <w:gridCol w:w="1400"/>
        <w:gridCol w:w="1000"/>
      </w:tblGrid>
      <w:tr w:rsidR="00F554CC" w:rsidTr="00007E9F">
        <w:tc>
          <w:tcPr>
            <w:tcW w:w="1308" w:type="dxa"/>
            <w:vMerge w:val="restart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№№ району</w:t>
            </w:r>
          </w:p>
        </w:tc>
        <w:tc>
          <w:tcPr>
            <w:tcW w:w="3779" w:type="dxa"/>
            <w:vMerge w:val="restart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Форми і елементи рельєфу</w:t>
            </w:r>
          </w:p>
        </w:tc>
        <w:tc>
          <w:tcPr>
            <w:tcW w:w="1800" w:type="dxa"/>
            <w:vMerge w:val="restart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Екологічна оцінка, бал</w:t>
            </w:r>
          </w:p>
        </w:tc>
        <w:tc>
          <w:tcPr>
            <w:tcW w:w="2400" w:type="dxa"/>
            <w:gridSpan w:val="2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Площа</w:t>
            </w:r>
          </w:p>
        </w:tc>
      </w:tr>
      <w:tr w:rsidR="00F554CC" w:rsidTr="00007E9F">
        <w:tc>
          <w:tcPr>
            <w:tcW w:w="1308" w:type="dxa"/>
            <w:vMerge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9" w:type="dxa"/>
            <w:vMerge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0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4CC" w:rsidTr="00007E9F">
        <w:tc>
          <w:tcPr>
            <w:tcW w:w="13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37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Рівнина, вододіли</w:t>
            </w:r>
          </w:p>
        </w:tc>
        <w:tc>
          <w:tcPr>
            <w:tcW w:w="18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598,4</w:t>
            </w:r>
            <w:r w:rsidRPr="00007E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554CC" w:rsidTr="00007E9F">
        <w:tc>
          <w:tcPr>
            <w:tcW w:w="13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37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Пологі схили південної і південно-західної експозиції</w:t>
            </w:r>
          </w:p>
        </w:tc>
        <w:tc>
          <w:tcPr>
            <w:tcW w:w="18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1162,13</w:t>
            </w:r>
          </w:p>
        </w:tc>
        <w:tc>
          <w:tcPr>
            <w:tcW w:w="10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38,84</w:t>
            </w:r>
          </w:p>
        </w:tc>
      </w:tr>
      <w:tr w:rsidR="00F554CC" w:rsidTr="00007E9F">
        <w:tc>
          <w:tcPr>
            <w:tcW w:w="13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37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Схили стрімкістю вище 7 º</w:t>
            </w:r>
          </w:p>
        </w:tc>
        <w:tc>
          <w:tcPr>
            <w:tcW w:w="18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456,52</w:t>
            </w:r>
          </w:p>
        </w:tc>
        <w:tc>
          <w:tcPr>
            <w:tcW w:w="10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F554CC" w:rsidTr="00007E9F">
        <w:tc>
          <w:tcPr>
            <w:tcW w:w="13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37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Дно долин, улоговини, яри</w:t>
            </w:r>
          </w:p>
        </w:tc>
        <w:tc>
          <w:tcPr>
            <w:tcW w:w="18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762,62</w:t>
            </w:r>
          </w:p>
        </w:tc>
        <w:tc>
          <w:tcPr>
            <w:tcW w:w="10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25,49</w:t>
            </w:r>
          </w:p>
        </w:tc>
      </w:tr>
      <w:tr w:rsidR="00F554CC" w:rsidTr="00007E9F">
        <w:tc>
          <w:tcPr>
            <w:tcW w:w="1308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79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Водоймища</w:t>
            </w:r>
          </w:p>
        </w:tc>
        <w:tc>
          <w:tcPr>
            <w:tcW w:w="18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12,14</w:t>
            </w:r>
          </w:p>
        </w:tc>
        <w:tc>
          <w:tcPr>
            <w:tcW w:w="10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0,41</w:t>
            </w:r>
          </w:p>
        </w:tc>
      </w:tr>
      <w:tr w:rsidR="00F554CC" w:rsidTr="00007E9F">
        <w:tc>
          <w:tcPr>
            <w:tcW w:w="6887" w:type="dxa"/>
            <w:gridSpan w:val="3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</w:tc>
        <w:tc>
          <w:tcPr>
            <w:tcW w:w="14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2991,93</w:t>
            </w:r>
          </w:p>
        </w:tc>
        <w:tc>
          <w:tcPr>
            <w:tcW w:w="1000" w:type="dxa"/>
          </w:tcPr>
          <w:p w:rsidR="00F554CC" w:rsidRPr="00007E9F" w:rsidRDefault="00F554CC" w:rsidP="00007E9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9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>Кліматичні умови на досліджуваній території зазнають значної мінливості під впливом елементів рельєфу, ґрунтового покриву і Дністровського лиману. Під впливом вказаних чинників відзначається значна мінливість за основними показниками морозонебезпечності і тепловими ресурсами.</w:t>
      </w:r>
    </w:p>
    <w:p w:rsidR="00F554CC" w:rsidRPr="004F189E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89E">
        <w:rPr>
          <w:rFonts w:ascii="Times New Roman" w:hAnsi="Times New Roman" w:cs="Times New Roman"/>
          <w:sz w:val="28"/>
          <w:szCs w:val="28"/>
        </w:rPr>
        <w:t>Механізм формування мікрокліматичної різниці денних та нічних термічних показників в різних формах пагорб</w:t>
      </w:r>
      <w:r>
        <w:rPr>
          <w:rFonts w:ascii="Times New Roman" w:hAnsi="Times New Roman" w:cs="Times New Roman"/>
          <w:sz w:val="28"/>
          <w:szCs w:val="28"/>
        </w:rPr>
        <w:t>куватого</w:t>
      </w:r>
      <w:r w:rsidRPr="004F189E">
        <w:rPr>
          <w:rFonts w:ascii="Times New Roman" w:hAnsi="Times New Roman" w:cs="Times New Roman"/>
          <w:sz w:val="28"/>
          <w:szCs w:val="28"/>
        </w:rPr>
        <w:t>, горбистого та гірського рельєфу – складний процес. Як уже зазначалося, він пов'язаний з особливістю надходження сонячного тепла і своєрідним повітряним обміном, радіаційним вихолоджуванням поверхні вночі, умовами підтоку та стоку холодного повітря вночі, а також площею повітрязбору.</w:t>
      </w: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89E">
        <w:rPr>
          <w:rFonts w:ascii="Times New Roman" w:hAnsi="Times New Roman" w:cs="Times New Roman"/>
          <w:sz w:val="28"/>
          <w:szCs w:val="28"/>
        </w:rPr>
        <w:t>Теплові ресурси</w:t>
      </w:r>
      <w:r>
        <w:rPr>
          <w:rFonts w:ascii="Times New Roman" w:hAnsi="Times New Roman" w:cs="Times New Roman"/>
          <w:sz w:val="28"/>
          <w:szCs w:val="28"/>
        </w:rPr>
        <w:t xml:space="preserve"> змінюються в </w:t>
      </w:r>
      <w:r w:rsidRPr="004F189E">
        <w:rPr>
          <w:rFonts w:ascii="Times New Roman" w:hAnsi="Times New Roman" w:cs="Times New Roman"/>
          <w:sz w:val="28"/>
          <w:szCs w:val="28"/>
        </w:rPr>
        <w:t>залежності від крутизни схилів та експозиції. Так, найбільшу кількість тепла отримують вершини пагорбів та водо</w:t>
      </w:r>
      <w:r w:rsidRPr="006109D0">
        <w:rPr>
          <w:rFonts w:ascii="Times New Roman" w:hAnsi="Times New Roman" w:cs="Times New Roman"/>
          <w:sz w:val="28"/>
          <w:szCs w:val="28"/>
          <w:lang w:val="ru-RU"/>
        </w:rPr>
        <w:t>дільне плато</w:t>
      </w:r>
      <w:r w:rsidRPr="004F189E">
        <w:rPr>
          <w:rFonts w:ascii="Times New Roman" w:hAnsi="Times New Roman" w:cs="Times New Roman"/>
          <w:sz w:val="28"/>
          <w:szCs w:val="28"/>
        </w:rPr>
        <w:t>. Ця величина сягає більше 3350</w:t>
      </w:r>
      <w:r w:rsidRPr="004F189E">
        <w:rPr>
          <w:rFonts w:ascii="Times New Roman" w:hAnsi="Times New Roman" w:cs="Times New Roman"/>
          <w:sz w:val="28"/>
          <w:szCs w:val="28"/>
          <w:vertAlign w:val="superscript"/>
        </w:rPr>
        <w:t xml:space="preserve"> о</w:t>
      </w:r>
      <w:r w:rsidRPr="004F189E">
        <w:rPr>
          <w:rFonts w:ascii="Times New Roman" w:hAnsi="Times New Roman" w:cs="Times New Roman"/>
          <w:sz w:val="28"/>
          <w:szCs w:val="28"/>
        </w:rPr>
        <w:t xml:space="preserve">С. Найменша кількість тепла поступає на нижні частини схилів та дно долин. Рівнина отримує середнє значення надходження тепла між найбільшим </w:t>
      </w:r>
      <w:r>
        <w:rPr>
          <w:rFonts w:ascii="Times New Roman" w:hAnsi="Times New Roman" w:cs="Times New Roman"/>
          <w:sz w:val="28"/>
          <w:szCs w:val="28"/>
        </w:rPr>
        <w:t>надходженням</w:t>
      </w:r>
      <w:r w:rsidRPr="004F189E">
        <w:rPr>
          <w:rFonts w:ascii="Times New Roman" w:hAnsi="Times New Roman" w:cs="Times New Roman"/>
          <w:sz w:val="28"/>
          <w:szCs w:val="28"/>
        </w:rPr>
        <w:t>, як теплових ресурсів, так і ФАР та найменшим. Цієї кількості достатньо для нормального розвитку рослин. На дні долин необхідно вирощувати більш вологолюб</w:t>
      </w:r>
      <w:r>
        <w:rPr>
          <w:rFonts w:ascii="Times New Roman" w:hAnsi="Times New Roman" w:cs="Times New Roman"/>
          <w:sz w:val="28"/>
          <w:szCs w:val="28"/>
        </w:rPr>
        <w:t>ні</w:t>
      </w:r>
      <w:r w:rsidRPr="004F189E">
        <w:rPr>
          <w:rFonts w:ascii="Times New Roman" w:hAnsi="Times New Roman" w:cs="Times New Roman"/>
          <w:sz w:val="28"/>
          <w:szCs w:val="28"/>
        </w:rPr>
        <w:t xml:space="preserve"> рослини. </w:t>
      </w:r>
      <w:r w:rsidRPr="004F189E">
        <w:rPr>
          <w:rFonts w:ascii="Times New Roman" w:hAnsi="Times New Roman" w:cs="Times New Roman"/>
          <w:iCs/>
          <w:sz w:val="28"/>
          <w:szCs w:val="28"/>
        </w:rPr>
        <w:t>50% забезпеченість морозонебезпечності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F189E">
        <w:rPr>
          <w:rFonts w:ascii="Times New Roman" w:hAnsi="Times New Roman" w:cs="Times New Roman"/>
          <w:iCs/>
          <w:sz w:val="28"/>
          <w:szCs w:val="28"/>
        </w:rPr>
        <w:t xml:space="preserve"> на вододільному плато та верхніх частинах крутих схилів складе -15,0</w:t>
      </w:r>
      <w:r w:rsidRPr="004F189E">
        <w:rPr>
          <w:rFonts w:ascii="Times New Roman" w:hAnsi="Times New Roman" w:cs="Times New Roman"/>
          <w:iCs/>
          <w:sz w:val="28"/>
          <w:szCs w:val="28"/>
          <w:vertAlign w:val="superscript"/>
        </w:rPr>
        <w:t>о</w:t>
      </w:r>
      <w:r w:rsidRPr="004F189E">
        <w:rPr>
          <w:rFonts w:ascii="Times New Roman" w:hAnsi="Times New Roman" w:cs="Times New Roman"/>
          <w:iCs/>
          <w:sz w:val="28"/>
          <w:szCs w:val="28"/>
        </w:rPr>
        <w:t>С, 10 % забезпеченість - -17,5</w:t>
      </w:r>
      <w:r w:rsidRPr="004F189E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о</w:t>
      </w:r>
      <w:r w:rsidRPr="004F189E">
        <w:rPr>
          <w:rFonts w:ascii="Times New Roman" w:hAnsi="Times New Roman" w:cs="Times New Roman"/>
          <w:iCs/>
          <w:sz w:val="28"/>
          <w:szCs w:val="28"/>
        </w:rPr>
        <w:t>С. На верхніх частинах пологих схилів та середніх частинах крутих схилів температура морозонебезпечності складе від -15,0 до -20,0</w:t>
      </w:r>
      <w:r w:rsidRPr="004F189E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о</w:t>
      </w:r>
      <w:r w:rsidRPr="004F189E">
        <w:rPr>
          <w:rFonts w:ascii="Times New Roman" w:hAnsi="Times New Roman" w:cs="Times New Roman"/>
          <w:iCs/>
          <w:sz w:val="28"/>
          <w:szCs w:val="28"/>
        </w:rPr>
        <w:t>С. Температура від -17,5  до -22,0</w:t>
      </w:r>
      <w:r w:rsidRPr="004F189E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о</w:t>
      </w:r>
      <w:r w:rsidRPr="004F189E">
        <w:rPr>
          <w:rFonts w:ascii="Times New Roman" w:hAnsi="Times New Roman" w:cs="Times New Roman"/>
          <w:iCs/>
          <w:sz w:val="28"/>
          <w:szCs w:val="28"/>
        </w:rPr>
        <w:t xml:space="preserve">С спостерігатиметься на </w:t>
      </w:r>
      <w:r>
        <w:rPr>
          <w:rFonts w:ascii="Times New Roman" w:hAnsi="Times New Roman" w:cs="Times New Roman"/>
          <w:iCs/>
          <w:sz w:val="28"/>
          <w:szCs w:val="28"/>
        </w:rPr>
        <w:t xml:space="preserve">значних </w:t>
      </w:r>
      <w:r w:rsidRPr="004F189E">
        <w:rPr>
          <w:rFonts w:ascii="Times New Roman" w:hAnsi="Times New Roman" w:cs="Times New Roman"/>
          <w:iCs/>
          <w:sz w:val="28"/>
          <w:szCs w:val="28"/>
        </w:rPr>
        <w:t xml:space="preserve">рівнинних місцях та середніх частинах пологих схилів. </w:t>
      </w:r>
    </w:p>
    <w:p w:rsidR="00F554CC" w:rsidRDefault="00F554CC" w:rsidP="009F110A">
      <w:pPr>
        <w:spacing w:after="0" w:line="360" w:lineRule="auto"/>
        <w:ind w:firstLine="60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554CC" w:rsidRPr="003C27E5" w:rsidRDefault="00F554CC" w:rsidP="003C27E5">
      <w:pPr>
        <w:spacing w:after="0" w:line="360" w:lineRule="auto"/>
        <w:contextualSpacing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DD6861">
        <w:rPr>
          <w:rFonts w:ascii="Times New Roman" w:hAnsi="Times New Roman" w:cs="Times New Roman"/>
          <w:b/>
          <w:iCs/>
          <w:sz w:val="28"/>
          <w:szCs w:val="28"/>
        </w:rPr>
        <w:t>Література</w:t>
      </w:r>
      <w:r>
        <w:rPr>
          <w:rFonts w:ascii="Times New Roman" w:hAnsi="Times New Roman" w:cs="Times New Roman"/>
          <w:b/>
          <w:iCs/>
          <w:sz w:val="28"/>
          <w:szCs w:val="28"/>
          <w:lang w:val="ru-RU"/>
        </w:rPr>
        <w:t>:</w:t>
      </w:r>
    </w:p>
    <w:p w:rsidR="00F554CC" w:rsidRPr="00DD6861" w:rsidRDefault="00F554CC" w:rsidP="009F110A">
      <w:pPr>
        <w:numPr>
          <w:ilvl w:val="0"/>
          <w:numId w:val="2"/>
        </w:numPr>
        <w:tabs>
          <w:tab w:val="clear" w:pos="720"/>
        </w:tabs>
        <w:suppressAutoHyphens w:val="0"/>
        <w:spacing w:after="0" w:line="360" w:lineRule="auto"/>
        <w:ind w:left="142" w:right="283" w:hanging="426"/>
        <w:jc w:val="both"/>
        <w:rPr>
          <w:rFonts w:ascii="Times New Roman" w:hAnsi="Times New Roman" w:cs="Times New Roman"/>
          <w:sz w:val="28"/>
          <w:szCs w:val="28"/>
        </w:rPr>
      </w:pPr>
      <w:r w:rsidRPr="00DD6861">
        <w:rPr>
          <w:rFonts w:ascii="Times New Roman" w:hAnsi="Times New Roman" w:cs="Times New Roman"/>
          <w:sz w:val="28"/>
          <w:szCs w:val="28"/>
        </w:rPr>
        <w:t>Атлас Одеської області / Под ред. Топчиева А.Г. – Одеса: Хорос, 2002. – 80 с.</w:t>
      </w:r>
    </w:p>
    <w:p w:rsidR="00F554CC" w:rsidRPr="00DD6861" w:rsidRDefault="00F554CC" w:rsidP="009F110A">
      <w:pPr>
        <w:pStyle w:val="BodyText3"/>
        <w:numPr>
          <w:ilvl w:val="0"/>
          <w:numId w:val="2"/>
        </w:numPr>
        <w:tabs>
          <w:tab w:val="clear" w:pos="720"/>
        </w:tabs>
        <w:spacing w:after="0" w:line="360" w:lineRule="auto"/>
        <w:ind w:left="142" w:right="283" w:hanging="426"/>
        <w:jc w:val="both"/>
        <w:rPr>
          <w:sz w:val="28"/>
          <w:szCs w:val="28"/>
        </w:rPr>
      </w:pPr>
      <w:r w:rsidRPr="00DD6861">
        <w:rPr>
          <w:sz w:val="28"/>
          <w:szCs w:val="28"/>
        </w:rPr>
        <w:t>Довідник з агрокліматичних ресурсів Одеської області /За редакцією Т.І.Адаменко, В.М.Ситова. – Одеса, 2013. – 189с.</w:t>
      </w:r>
    </w:p>
    <w:p w:rsidR="00F554CC" w:rsidRPr="00DD6861" w:rsidRDefault="00F554CC" w:rsidP="009F11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 w:line="360" w:lineRule="auto"/>
        <w:ind w:left="0" w:right="28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D6861">
        <w:rPr>
          <w:rFonts w:ascii="Times New Roman" w:hAnsi="Times New Roman" w:cs="Times New Roman"/>
          <w:sz w:val="28"/>
          <w:szCs w:val="28"/>
        </w:rPr>
        <w:t>Ляшенко Г.В. Агрокліматична оцінка продуктивності сільськогосподарських культур в Україні.</w:t>
      </w:r>
    </w:p>
    <w:p w:rsidR="00F554CC" w:rsidRPr="00DD6861" w:rsidRDefault="00F554CC" w:rsidP="009F110A">
      <w:pPr>
        <w:pStyle w:val="BodyText"/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 w:line="360" w:lineRule="auto"/>
        <w:ind w:left="0" w:right="28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D6861">
        <w:rPr>
          <w:rFonts w:ascii="Times New Roman" w:hAnsi="Times New Roman" w:cs="Times New Roman"/>
          <w:sz w:val="28"/>
          <w:szCs w:val="28"/>
        </w:rPr>
        <w:t>Микроклимат СССР // Под ред. И.А. Гольцберг. – Л.: Гидрометеоиздат,  1967. – 286 с.</w:t>
      </w:r>
    </w:p>
    <w:p w:rsidR="00F554CC" w:rsidRPr="00DD6861" w:rsidRDefault="00F554CC" w:rsidP="009F11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 w:line="360" w:lineRule="auto"/>
        <w:ind w:left="0" w:right="28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D6861">
        <w:rPr>
          <w:rFonts w:ascii="Times New Roman" w:hAnsi="Times New Roman" w:cs="Times New Roman"/>
          <w:sz w:val="28"/>
          <w:szCs w:val="28"/>
        </w:rPr>
        <w:t>Мищенко З.А. Биоклимат дня и ночи / З.А. Мищенко. – Л.: Гидрометеоиздат, 1984. – 280 с.</w:t>
      </w:r>
    </w:p>
    <w:p w:rsidR="00F554CC" w:rsidRDefault="00F554CC" w:rsidP="009F11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 w:line="360" w:lineRule="auto"/>
        <w:ind w:left="0" w:right="28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D6861">
        <w:rPr>
          <w:rFonts w:ascii="Times New Roman" w:hAnsi="Times New Roman" w:cs="Times New Roman"/>
          <w:sz w:val="28"/>
          <w:szCs w:val="28"/>
        </w:rPr>
        <w:t>Романова Е.Н. Микроклиматическая изменчивость основных элементов климата. -Л.: Гидрометеоиздат, 1984. – 280 с.</w:t>
      </w:r>
    </w:p>
    <w:p w:rsidR="00F554CC" w:rsidRDefault="00F554CC" w:rsidP="003C27E5">
      <w:pPr>
        <w:suppressAutoHyphens w:val="0"/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A2FE1">
        <w:rPr>
          <w:rFonts w:ascii="Times New Roman" w:hAnsi="Times New Roman" w:cs="Times New Roman"/>
          <w:b/>
          <w:sz w:val="28"/>
          <w:szCs w:val="28"/>
        </w:rPr>
        <w:t>Науковий керівник</w:t>
      </w:r>
      <w:r w:rsidRPr="00DD6861">
        <w:rPr>
          <w:rFonts w:ascii="Times New Roman" w:hAnsi="Times New Roman" w:cs="Times New Roman"/>
          <w:sz w:val="28"/>
          <w:szCs w:val="28"/>
        </w:rPr>
        <w:t>:</w:t>
      </w:r>
    </w:p>
    <w:p w:rsidR="00F554CC" w:rsidRPr="003C27E5" w:rsidRDefault="00F554CC" w:rsidP="009F110A">
      <w:pPr>
        <w:suppressAutoHyphens w:val="0"/>
        <w:spacing w:after="0" w:line="360" w:lineRule="auto"/>
        <w:ind w:right="283"/>
        <w:jc w:val="both"/>
        <w:rPr>
          <w:sz w:val="24"/>
          <w:szCs w:val="24"/>
          <w:lang w:val="ru-RU"/>
        </w:rPr>
      </w:pPr>
      <w:r w:rsidRPr="00DD6861">
        <w:rPr>
          <w:rFonts w:ascii="Times New Roman" w:hAnsi="Times New Roman" w:cs="Times New Roman"/>
          <w:sz w:val="28"/>
          <w:szCs w:val="28"/>
        </w:rPr>
        <w:t xml:space="preserve"> доктор географічних наук, професор Польовий Анатолій Миколайович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554CC" w:rsidRDefault="00F554CC" w:rsidP="009F110A">
      <w:pPr>
        <w:spacing w:after="0" w:line="360" w:lineRule="auto"/>
        <w:ind w:firstLine="600"/>
        <w:contextualSpacing/>
      </w:pPr>
    </w:p>
    <w:sectPr w:rsidR="00F554CC" w:rsidSect="00DA3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1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D88BAE"/>
    <w:name w:val="WW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94C0EE8"/>
    <w:multiLevelType w:val="hybridMultilevel"/>
    <w:tmpl w:val="160E5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CB9"/>
    <w:rsid w:val="00007E9F"/>
    <w:rsid w:val="00100B71"/>
    <w:rsid w:val="0015637A"/>
    <w:rsid w:val="00256ACF"/>
    <w:rsid w:val="00285FBD"/>
    <w:rsid w:val="003C27E5"/>
    <w:rsid w:val="003C5BD5"/>
    <w:rsid w:val="00490880"/>
    <w:rsid w:val="004D122E"/>
    <w:rsid w:val="004F189E"/>
    <w:rsid w:val="005A55A4"/>
    <w:rsid w:val="006109D0"/>
    <w:rsid w:val="006332C0"/>
    <w:rsid w:val="00780440"/>
    <w:rsid w:val="00845E6D"/>
    <w:rsid w:val="009A2FE1"/>
    <w:rsid w:val="009D2E39"/>
    <w:rsid w:val="009F110A"/>
    <w:rsid w:val="00A414DB"/>
    <w:rsid w:val="00A41CE0"/>
    <w:rsid w:val="00B35FF4"/>
    <w:rsid w:val="00B3633E"/>
    <w:rsid w:val="00B45A6B"/>
    <w:rsid w:val="00B57CCC"/>
    <w:rsid w:val="00D27369"/>
    <w:rsid w:val="00DA3E7C"/>
    <w:rsid w:val="00DD6861"/>
    <w:rsid w:val="00DE04B7"/>
    <w:rsid w:val="00ED3CB9"/>
    <w:rsid w:val="00F0607B"/>
    <w:rsid w:val="00F55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CB9"/>
    <w:pPr>
      <w:suppressAutoHyphens/>
      <w:spacing w:after="200" w:line="276" w:lineRule="auto"/>
    </w:pPr>
    <w:rPr>
      <w:rFonts w:eastAsia="Arial Unicode MS" w:cs="font291"/>
      <w:kern w:val="1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3CB9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ED3CB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CB9"/>
    <w:rPr>
      <w:rFonts w:ascii="Calibri" w:eastAsia="Arial Unicode MS" w:hAnsi="Calibri" w:cs="font291"/>
      <w:kern w:val="1"/>
      <w:lang w:val="uk-UA" w:eastAsia="ar-SA" w:bidi="ar-SA"/>
    </w:rPr>
  </w:style>
  <w:style w:type="paragraph" w:customStyle="1" w:styleId="a">
    <w:name w:val="Знак"/>
    <w:basedOn w:val="Normal"/>
    <w:uiPriority w:val="99"/>
    <w:rsid w:val="00ED3CB9"/>
    <w:pPr>
      <w:suppressAutoHyphens w:val="0"/>
      <w:spacing w:after="0" w:line="240" w:lineRule="auto"/>
    </w:pPr>
    <w:rPr>
      <w:rFonts w:ascii="Verdana" w:eastAsia="Times New Roman" w:hAnsi="Verdana" w:cs="Verdana"/>
      <w:noProof/>
      <w:kern w:val="0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DD6861"/>
    <w:pPr>
      <w:suppressAutoHyphens w:val="0"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D6861"/>
    <w:rPr>
      <w:rFonts w:ascii="Times New Roman" w:hAnsi="Times New Roman" w:cs="Times New Roman"/>
      <w:sz w:val="16"/>
      <w:szCs w:val="16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D68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D6861"/>
    <w:rPr>
      <w:rFonts w:ascii="Calibri" w:eastAsia="Arial Unicode MS" w:hAnsi="Calibri" w:cs="font291"/>
      <w:kern w:val="1"/>
      <w:lang w:val="uk-UA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76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6410</Words>
  <Characters>3655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talvuz</dc:creator>
  <cp:keywords/>
  <dc:description/>
  <cp:lastModifiedBy>Admin</cp:lastModifiedBy>
  <cp:revision>6</cp:revision>
  <dcterms:created xsi:type="dcterms:W3CDTF">2015-04-28T19:42:00Z</dcterms:created>
  <dcterms:modified xsi:type="dcterms:W3CDTF">2015-04-28T20:29:00Z</dcterms:modified>
</cp:coreProperties>
</file>