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0E5" w:rsidRDefault="00E600E5" w:rsidP="00B212DF">
      <w:pPr>
        <w:jc w:val="right"/>
        <w:rPr>
          <w:rStyle w:val="apple-style-span"/>
          <w:b/>
          <w:color w:val="000000"/>
          <w:sz w:val="28"/>
          <w:szCs w:val="28"/>
          <w:shd w:val="clear" w:color="auto" w:fill="FFFFFF"/>
          <w:lang w:val="uk-UA"/>
        </w:rPr>
      </w:pPr>
      <w:r>
        <w:rPr>
          <w:rStyle w:val="apple-style-span"/>
          <w:b/>
          <w:color w:val="000000"/>
          <w:sz w:val="28"/>
          <w:szCs w:val="28"/>
          <w:shd w:val="clear" w:color="auto" w:fill="FFFFFF"/>
        </w:rPr>
        <w:t>Ф.</w:t>
      </w:r>
      <w:r>
        <w:rPr>
          <w:rStyle w:val="apple-style-span"/>
          <w:b/>
          <w:color w:val="000000"/>
          <w:sz w:val="28"/>
          <w:szCs w:val="28"/>
          <w:shd w:val="clear" w:color="auto" w:fill="FFFFFF"/>
          <w:lang w:val="uk-UA"/>
        </w:rPr>
        <w:t xml:space="preserve"> </w:t>
      </w:r>
      <w:r>
        <w:rPr>
          <w:rStyle w:val="apple-style-span"/>
          <w:b/>
          <w:color w:val="000000"/>
          <w:sz w:val="28"/>
          <w:szCs w:val="28"/>
          <w:shd w:val="clear" w:color="auto" w:fill="FFFFFF"/>
        </w:rPr>
        <w:t>Холмаматов</w:t>
      </w:r>
    </w:p>
    <w:p w:rsidR="00E600E5" w:rsidRPr="00966E6D" w:rsidRDefault="00E600E5" w:rsidP="00B212DF">
      <w:pPr>
        <w:jc w:val="right"/>
        <w:rPr>
          <w:rStyle w:val="apple-style-span"/>
          <w:b/>
          <w:color w:val="000000"/>
          <w:sz w:val="28"/>
          <w:szCs w:val="28"/>
          <w:shd w:val="clear" w:color="auto" w:fill="FFFFFF"/>
          <w:lang w:val="uk-UA"/>
        </w:rPr>
      </w:pPr>
      <w:r>
        <w:rPr>
          <w:rStyle w:val="apple-style-span"/>
          <w:b/>
          <w:color w:val="000000"/>
          <w:sz w:val="28"/>
          <w:szCs w:val="28"/>
          <w:shd w:val="clear" w:color="auto" w:fill="FFFFFF"/>
          <w:lang w:val="uk-UA"/>
        </w:rPr>
        <w:t>(</w:t>
      </w:r>
      <w:r>
        <w:rPr>
          <w:rStyle w:val="apple-style-span"/>
          <w:b/>
          <w:color w:val="000000"/>
          <w:sz w:val="28"/>
          <w:szCs w:val="28"/>
          <w:shd w:val="clear" w:color="auto" w:fill="FFFFFF"/>
        </w:rPr>
        <w:t>ТФИ, Узбекистан</w:t>
      </w:r>
      <w:r>
        <w:rPr>
          <w:rStyle w:val="apple-style-span"/>
          <w:b/>
          <w:color w:val="000000"/>
          <w:sz w:val="28"/>
          <w:szCs w:val="28"/>
          <w:shd w:val="clear" w:color="auto" w:fill="FFFFFF"/>
          <w:lang w:val="uk-UA"/>
        </w:rPr>
        <w:t xml:space="preserve">) </w:t>
      </w:r>
    </w:p>
    <w:p w:rsidR="00E600E5" w:rsidRDefault="00E600E5" w:rsidP="00B212DF">
      <w:pPr>
        <w:jc w:val="right"/>
        <w:rPr>
          <w:rStyle w:val="apple-style-span"/>
          <w:b/>
          <w:color w:val="000000"/>
          <w:sz w:val="28"/>
          <w:szCs w:val="28"/>
          <w:shd w:val="clear" w:color="auto" w:fill="FFFFFF"/>
        </w:rPr>
      </w:pPr>
    </w:p>
    <w:p w:rsidR="00E600E5" w:rsidRPr="001D2769" w:rsidRDefault="00E600E5" w:rsidP="00947F51">
      <w:pPr>
        <w:spacing w:line="360" w:lineRule="auto"/>
        <w:jc w:val="center"/>
        <w:rPr>
          <w:rStyle w:val="apple-style-span"/>
          <w:b/>
          <w:color w:val="000000"/>
          <w:sz w:val="28"/>
          <w:szCs w:val="28"/>
          <w:shd w:val="clear" w:color="auto" w:fill="FFFFFF"/>
        </w:rPr>
      </w:pPr>
      <w:r w:rsidRPr="001D2769">
        <w:rPr>
          <w:rStyle w:val="apple-style-span"/>
          <w:b/>
          <w:color w:val="000000"/>
          <w:sz w:val="28"/>
          <w:szCs w:val="28"/>
          <w:shd w:val="clear" w:color="auto" w:fill="FFFFFF"/>
        </w:rPr>
        <w:t xml:space="preserve">РИСКИ </w:t>
      </w:r>
      <w:r>
        <w:rPr>
          <w:rStyle w:val="apple-style-span"/>
          <w:b/>
          <w:color w:val="000000"/>
          <w:sz w:val="28"/>
          <w:szCs w:val="28"/>
          <w:shd w:val="clear" w:color="auto" w:fill="FFFFFF"/>
        </w:rPr>
        <w:t xml:space="preserve"> </w:t>
      </w:r>
      <w:r w:rsidRPr="001D2769">
        <w:rPr>
          <w:rStyle w:val="apple-style-span"/>
          <w:b/>
          <w:color w:val="000000"/>
          <w:sz w:val="28"/>
          <w:szCs w:val="28"/>
          <w:shd w:val="clear" w:color="auto" w:fill="FFFFFF"/>
        </w:rPr>
        <w:t>МЕЖДУНАРОДНОЙ</w:t>
      </w:r>
      <w:r>
        <w:rPr>
          <w:rStyle w:val="apple-style-span"/>
          <w:b/>
          <w:color w:val="000000"/>
          <w:sz w:val="28"/>
          <w:szCs w:val="28"/>
          <w:shd w:val="clear" w:color="auto" w:fill="FFFFFF"/>
        </w:rPr>
        <w:t xml:space="preserve"> </w:t>
      </w:r>
      <w:r w:rsidRPr="001D2769">
        <w:rPr>
          <w:rStyle w:val="apple-style-span"/>
          <w:b/>
          <w:color w:val="000000"/>
          <w:sz w:val="28"/>
          <w:szCs w:val="28"/>
          <w:shd w:val="clear" w:color="auto" w:fill="FFFFFF"/>
        </w:rPr>
        <w:t xml:space="preserve"> БАНКОВСКОЙ СИСТЕМЫ В УСЛОВИЯХ РАЗВИТИЯ НОВОЙ МИРОВОЙ ФИНАНСОВОЙ </w:t>
      </w:r>
      <w:r>
        <w:rPr>
          <w:rStyle w:val="apple-style-span"/>
          <w:b/>
          <w:color w:val="000000"/>
          <w:sz w:val="28"/>
          <w:szCs w:val="28"/>
          <w:shd w:val="clear" w:color="auto" w:fill="FFFFFF"/>
        </w:rPr>
        <w:t>СИСТЕМЫ</w:t>
      </w:r>
      <w:r>
        <w:rPr>
          <w:rStyle w:val="apple-style-span"/>
          <w:b/>
          <w:color w:val="000000"/>
          <w:sz w:val="28"/>
          <w:szCs w:val="28"/>
          <w:shd w:val="clear" w:color="auto" w:fill="FFFFFF"/>
          <w:lang w:val="uk-UA"/>
        </w:rPr>
        <w:t xml:space="preserve">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Современные представления о глобальной финансовой экономике как об эволюционирующей системе приводят ученых, практиков и исследователей в условиях посткризисной экономики к пониманию того, что зависимость от предшествующей траектории развития является важным фактором, определяющим вектор антикризисного регулирования локальных экономических систем и финансовых институтов.</w:t>
      </w:r>
      <w:r w:rsidRPr="001D2769">
        <w:rPr>
          <w:rStyle w:val="apple-converted-space"/>
          <w:color w:val="000000"/>
          <w:sz w:val="28"/>
          <w:szCs w:val="28"/>
          <w:shd w:val="clear" w:color="auto" w:fill="FFFFFF"/>
        </w:rPr>
        <w:t> </w:t>
      </w:r>
      <w:r>
        <w:rPr>
          <w:rStyle w:val="apple-converted-space"/>
          <w:color w:val="000000"/>
          <w:sz w:val="28"/>
          <w:szCs w:val="28"/>
          <w:shd w:val="clear" w:color="auto" w:fill="FFFFFF"/>
          <w:lang w:val="uk-UA"/>
        </w:rPr>
        <w:t xml:space="preserve">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В настоящее время сложно прогнозировать не только новую мировую финансовую архитектуру, но и структуру будущих финансовых инвестиций экономических агентов. В условиях финансовой экономики, которая выделялась дихотомией финансовых инвестиций, возникли «токсичные» финансовые активы, обеспечивающие приоритеты развитых стран в глобальной конкуренции. Смогут ли ученые и практики, менеджеры и аналитики разработать модель, успешно совмещающую</w:t>
      </w:r>
      <w:r w:rsidRPr="001D2769">
        <w:rPr>
          <w:rStyle w:val="apple-converted-space"/>
          <w:color w:val="000000"/>
          <w:sz w:val="28"/>
          <w:szCs w:val="28"/>
          <w:shd w:val="clear" w:color="auto" w:fill="FFFFFF"/>
        </w:rPr>
        <w:t> </w:t>
      </w:r>
      <w:r w:rsidRPr="001D2769">
        <w:rPr>
          <w:rStyle w:val="apple-style-span"/>
          <w:color w:val="000000"/>
          <w:sz w:val="28"/>
          <w:szCs w:val="28"/>
          <w:shd w:val="clear" w:color="auto" w:fill="FFFFFF"/>
        </w:rPr>
        <w:t>инновационные финансовые инструменты с развитием системы глобального регулирования?</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Для развития «новой экономики» необходима такая модель финансово</w:t>
      </w:r>
      <w:r>
        <w:rPr>
          <w:rStyle w:val="apple-style-span"/>
          <w:color w:val="000000"/>
          <w:sz w:val="28"/>
          <w:szCs w:val="28"/>
          <w:shd w:val="clear" w:color="auto" w:fill="FFFFFF"/>
        </w:rPr>
        <w:t xml:space="preserve">- </w:t>
      </w:r>
      <w:r w:rsidRPr="001D2769">
        <w:rPr>
          <w:rStyle w:val="apple-style-span"/>
          <w:color w:val="000000"/>
          <w:sz w:val="28"/>
          <w:szCs w:val="28"/>
          <w:shd w:val="clear" w:color="auto" w:fill="FFFFFF"/>
        </w:rPr>
        <w:t>инвестиционного развития, которая смогла бы в будущем исключить саму возможность превращения экономических агентов, людей, равно как и целых государств, в заложников финансовых спекуляций и пирамид. Широко распространено мнение, согласно которому современный глобальный кризис произошел от недостатка государственного регулирования. Финансовый кризис разразился из-за неэффективности существующих механизмов регулирования и недостаточной надежности широко используемых финанс</w:t>
      </w:r>
      <w:r>
        <w:rPr>
          <w:rStyle w:val="apple-style-span"/>
          <w:color w:val="000000"/>
          <w:sz w:val="28"/>
          <w:szCs w:val="28"/>
          <w:shd w:val="clear" w:color="auto" w:fill="FFFFFF"/>
        </w:rPr>
        <w:t xml:space="preserve">ово-инвестиционных инструментов и </w:t>
      </w:r>
      <w:r w:rsidRPr="001D2769">
        <w:rPr>
          <w:rStyle w:val="apple-style-span"/>
          <w:color w:val="000000"/>
          <w:sz w:val="28"/>
          <w:szCs w:val="28"/>
          <w:shd w:val="clear" w:color="auto" w:fill="FFFFFF"/>
        </w:rPr>
        <w:t>институтов.</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Усиление государственного регулирования при использовании финансовых инструментов и доминирования неэффективных институтов не обеспечит снижение рисков при управлении инвестиционными потоками. Это определяет актуальность разработки новых инструментов и технологий регулирования финансовых рынков, адекватных финансовым инновациям XXI в. Необходимо разделять регулирование финансовых рынков с централизованным регулированием экономики и управлением инвестициями.</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Появление и скорость распространения новых инвестиционных продуктов, как правило, зависит от степени их востребованности участниками рынка. Помимо институциональных условий (законодательство и особенности регулирования), спрос на такие продукты во многом зависит от макроэкономического контекста и текущей ситуации на финансовых рынках.</w:t>
      </w:r>
      <w:r w:rsidRPr="001D2769">
        <w:rPr>
          <w:rStyle w:val="apple-converted-space"/>
          <w:color w:val="000000"/>
          <w:sz w:val="28"/>
          <w:szCs w:val="28"/>
          <w:shd w:val="clear" w:color="auto" w:fill="FFFFFF"/>
        </w:rPr>
        <w:t> </w:t>
      </w:r>
      <w:r>
        <w:rPr>
          <w:rStyle w:val="apple-style-span"/>
          <w:color w:val="000000"/>
          <w:sz w:val="28"/>
          <w:szCs w:val="28"/>
          <w:shd w:val="clear" w:color="auto" w:fill="FFFFFF"/>
        </w:rPr>
        <w:tab/>
      </w:r>
      <w:r w:rsidRPr="001D2769">
        <w:rPr>
          <w:rStyle w:val="apple-style-span"/>
          <w:color w:val="000000"/>
          <w:sz w:val="28"/>
          <w:szCs w:val="28"/>
          <w:shd w:val="clear" w:color="auto" w:fill="FFFFFF"/>
        </w:rPr>
        <w:t>Говоря о макроэкономических условиях, определивших востребованность производных финансовых инструментов, следует подчеркнуть весьма низкий уровень инфляции в развитых странах, низкие процентные ставки, высокую степень предсказуемости макроэкономических индикаторов, включая достаточно стабильные темпы роста ВВП.</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Вопреки стремительному росту объема долговых инструментов и, в частности, производных финансовых инструментов, сопровождавшемуся ростом цен на базовые активы, приведенные факторы создали у ряда инвесторов и экономистов определенную иллюзию в отношении реального уровня кредитного риска и справедливой цены активов.</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 xml:space="preserve">Первые симптомы кризиса появились в </w:t>
      </w:r>
      <w:smartTag w:uri="urn:schemas-microsoft-com:office:smarttags" w:element="metricconverter">
        <w:smartTagPr>
          <w:attr w:name="ProductID" w:val="2007 г"/>
        </w:smartTagPr>
        <w:r w:rsidRPr="001D2769">
          <w:rPr>
            <w:rStyle w:val="apple-style-span"/>
            <w:color w:val="000000"/>
            <w:sz w:val="28"/>
            <w:szCs w:val="28"/>
            <w:shd w:val="clear" w:color="auto" w:fill="FFFFFF"/>
          </w:rPr>
          <w:t>2007 г</w:t>
        </w:r>
      </w:smartTag>
      <w:r w:rsidRPr="001D2769">
        <w:rPr>
          <w:rStyle w:val="apple-style-span"/>
          <w:color w:val="000000"/>
          <w:sz w:val="28"/>
          <w:szCs w:val="28"/>
          <w:shd w:val="clear" w:color="auto" w:fill="FFFFFF"/>
        </w:rPr>
        <w:t>. в США и были связаны с увеличившимся уровнем дефолтов по субпервичным кредитам вслед за повышением уровня референсных процентных ставок по кредитам; это означало, что структурированные продукты защищают инвесторов от коррелированных рисков по базовым активам в недостаточной степени.</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Реакцией инвесторов в США и Европе стало упреждающее сокращение позиций в структурированных финансовых инструментах по широкому спектру базовых активов, что вызвало эффект самореализующихся ожиданий, ускоряющих и углубляющих кризис. Стремясь снизить собственные риски, инвестиционные</w:t>
      </w:r>
      <w:r w:rsidRPr="001D2769">
        <w:rPr>
          <w:rStyle w:val="apple-converted-space"/>
          <w:color w:val="000000"/>
          <w:sz w:val="28"/>
          <w:szCs w:val="28"/>
          <w:shd w:val="clear" w:color="auto" w:fill="FFFFFF"/>
        </w:rPr>
        <w:t> </w:t>
      </w:r>
      <w:r w:rsidRPr="001D2769">
        <w:rPr>
          <w:rStyle w:val="apple-style-span"/>
          <w:color w:val="000000"/>
          <w:sz w:val="28"/>
          <w:szCs w:val="28"/>
          <w:shd w:val="clear" w:color="auto" w:fill="FFFFFF"/>
        </w:rPr>
        <w:t>банки и регуляторы финансовых рынков стали реструктуризировать обязательства и списывать активы.</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На глобальном рынке и в развитых странах произошла серия банкротств, связанных с потерей рынком ликвидности и переоценкой качества выпущенных долговых инструментов и кредитного риска контрагентов.</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Перечень недостатков банковской системы, приведенных Банко</w:t>
      </w:r>
      <w:r>
        <w:rPr>
          <w:rStyle w:val="apple-style-span"/>
          <w:color w:val="000000"/>
          <w:sz w:val="28"/>
          <w:szCs w:val="28"/>
          <w:shd w:val="clear" w:color="auto" w:fill="FFFFFF"/>
        </w:rPr>
        <w:t>м Англии</w:t>
      </w:r>
      <w:r w:rsidRPr="001D2769">
        <w:rPr>
          <w:rStyle w:val="apple-style-span"/>
          <w:color w:val="000000"/>
          <w:sz w:val="28"/>
          <w:szCs w:val="28"/>
          <w:shd w:val="clear" w:color="auto" w:fill="FFFFFF"/>
        </w:rPr>
        <w:t>, содержит следующие направления и факторы:</w:t>
      </w:r>
      <w:r w:rsidRPr="001D2769">
        <w:rPr>
          <w:rStyle w:val="apple-converted-space"/>
          <w:color w:val="000000"/>
          <w:sz w:val="28"/>
          <w:szCs w:val="28"/>
          <w:shd w:val="clear" w:color="auto" w:fill="FFFFFF"/>
        </w:rPr>
        <w:t> </w:t>
      </w:r>
      <w:r w:rsidRPr="001D2769">
        <w:rPr>
          <w:rStyle w:val="apple-style-span"/>
          <w:color w:val="000000"/>
          <w:sz w:val="28"/>
          <w:szCs w:val="28"/>
          <w:shd w:val="clear" w:color="auto" w:fill="FFFFFF"/>
        </w:rPr>
        <w:t>■ увеличенные объемы банковских балансов, темп роста которых сильно опережал темп роста экономики;</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 стремительный рост объема финансирования некоторых классов активов с трансцендентными показателями реальной стоимости, кредитного качества и ликвидности (включая кредитование ипотеки по стандартам Subprime, высокорискованное кредитование некоторых корпораций, удержание на балансе структурных продуктов);</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 высокая зависимость структур пассивов банков от наличия значительных сумм краткосрочного финансирования на межбанковском рынке;</w:t>
      </w:r>
      <w:r w:rsidRPr="001D2769">
        <w:rPr>
          <w:rStyle w:val="apple-converted-space"/>
          <w:color w:val="000000"/>
          <w:sz w:val="28"/>
          <w:szCs w:val="28"/>
          <w:shd w:val="clear" w:color="auto" w:fill="FFFFFF"/>
        </w:rPr>
        <w:t> </w:t>
      </w:r>
      <w:r w:rsidRPr="001D2769">
        <w:rPr>
          <w:color w:val="000000"/>
          <w:sz w:val="28"/>
          <w:szCs w:val="28"/>
          <w:shd w:val="clear" w:color="auto" w:fill="FFFFFF"/>
        </w:rPr>
        <w:br/>
      </w:r>
      <w:r w:rsidRPr="001D2769">
        <w:rPr>
          <w:rStyle w:val="apple-style-span"/>
          <w:color w:val="000000"/>
          <w:sz w:val="28"/>
          <w:szCs w:val="28"/>
          <w:shd w:val="clear" w:color="auto" w:fill="FFFFFF"/>
        </w:rPr>
        <w:t>■ недостаточный уровень капитализации финансово-кредитных институтов для адекватной защиты от рисков, учитывая изменившуюся структуру и срочность активов и пассивов банков;</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 отсутствие выявления и оценки взаимосвязей движения финансовых инвестиций и рисков в мировой финансовой системе.</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К рискам развития международной банковской системы следует также отнести несогласованность действий регуляторов и монетарных властей в отношении способов спасения банков в США и Европе. Угроза превышения суммы убытков от списаний производных финансовых инструментов размера капиталов системообразующих банков заставила центральные банки в США, Великобритании и Европе предоставить возможность заключать сделки РЕПО с обеспеченными ипотекой ценными бумагами, давая банкам взамен краткосрочные средства под низкие проценты.</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Правительство Германии приняло решение о создании специального чрезвычайного фонда спасения финансовых институтов. Этот фонд должны будут финансировать сами банки путем специальных сборов. Размер взноса в фонд будет определяться исходя из размеров каждог</w:t>
      </w:r>
      <w:r>
        <w:rPr>
          <w:rStyle w:val="apple-style-span"/>
          <w:color w:val="000000"/>
          <w:sz w:val="28"/>
          <w:szCs w:val="28"/>
          <w:shd w:val="clear" w:color="auto" w:fill="FFFFFF"/>
        </w:rPr>
        <w:t xml:space="preserve">о банка, а также наличия рисков в </w:t>
      </w:r>
      <w:r w:rsidRPr="001D2769">
        <w:rPr>
          <w:rStyle w:val="apple-style-span"/>
          <w:color w:val="000000"/>
          <w:sz w:val="28"/>
          <w:szCs w:val="28"/>
          <w:shd w:val="clear" w:color="auto" w:fill="FFFFFF"/>
        </w:rPr>
        <w:t>его</w:t>
      </w:r>
      <w:r w:rsidRPr="001D2769">
        <w:rPr>
          <w:rStyle w:val="apple-converted-space"/>
          <w:color w:val="000000"/>
          <w:sz w:val="28"/>
          <w:szCs w:val="28"/>
          <w:shd w:val="clear" w:color="auto" w:fill="FFFFFF"/>
        </w:rPr>
        <w:t> </w:t>
      </w:r>
      <w:r w:rsidRPr="001D2769">
        <w:rPr>
          <w:rStyle w:val="apple-style-span"/>
          <w:color w:val="000000"/>
          <w:sz w:val="28"/>
          <w:szCs w:val="28"/>
          <w:shd w:val="clear" w:color="auto" w:fill="FFFFFF"/>
        </w:rPr>
        <w:t>деятельности. США, в свою очередь, объявили о введении годового налога в размере 0,15% к размеру активов.</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Однако многие страны считают, что односторонние меры могут представлять угрозу для экономики страны, так как очень важно, чтобы данный законопроект принимался на международном уровне, иное поведение влечет перемещение банковских структур на рынки с более благоприятным налоговым режимом. Финансовая глобализация соответствовала текущей волне технологических изменений, связанных с укрупнением бизнеса, развитием филиальных сетей, обеспечивающих снижение транспортных и коммуникационных издержек экономических агентов, экономические связи между которыми превращались в систему транснационального взаимодействия на основе информационно-сетевых методов и инструментов.</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Pr>
          <w:rStyle w:val="apple-style-span"/>
          <w:color w:val="000000"/>
          <w:sz w:val="28"/>
          <w:szCs w:val="28"/>
          <w:shd w:val="clear" w:color="auto" w:fill="FFFFFF"/>
        </w:rPr>
        <w:tab/>
      </w:r>
      <w:r w:rsidRPr="001D2769">
        <w:rPr>
          <w:rStyle w:val="apple-style-span"/>
          <w:color w:val="000000"/>
          <w:sz w:val="28"/>
          <w:szCs w:val="28"/>
          <w:shd w:val="clear" w:color="auto" w:fill="FFFFFF"/>
        </w:rPr>
        <w:t>Одной из важных составляющих конкурентоспособности банка в настоящее время является достаточная технологическая оснащенность. Например, дистанционного банковск</w:t>
      </w:r>
      <w:r>
        <w:rPr>
          <w:rStyle w:val="apple-style-span"/>
          <w:color w:val="000000"/>
          <w:sz w:val="28"/>
          <w:szCs w:val="28"/>
          <w:shd w:val="clear" w:color="auto" w:fill="FFFFFF"/>
        </w:rPr>
        <w:t xml:space="preserve">ого обслуживания через Интернет, </w:t>
      </w:r>
      <w:r w:rsidRPr="001D2769">
        <w:rPr>
          <w:rStyle w:val="apple-style-span"/>
          <w:color w:val="000000"/>
          <w:sz w:val="28"/>
          <w:szCs w:val="28"/>
          <w:shd w:val="clear" w:color="auto" w:fill="FFFFFF"/>
        </w:rPr>
        <w:t>наличие автоматической системы оплаты платежей.</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Эта система, благодаря которой платеж поступает не операционисту, а идет к получателю по безопасным электронным каналам связи. Она полностью исключает ошибки, возникающие вследствие «человеческого фактора», и позволяет существенно экономить время.</w:t>
      </w:r>
      <w:r w:rsidRPr="001D2769">
        <w:rPr>
          <w:rStyle w:val="apple-converted-space"/>
          <w:color w:val="000000"/>
          <w:sz w:val="28"/>
          <w:szCs w:val="28"/>
          <w:shd w:val="clear" w:color="auto" w:fill="FFFFFF"/>
        </w:rPr>
        <w:t> </w:t>
      </w:r>
    </w:p>
    <w:p w:rsidR="00E600E5" w:rsidRDefault="00E600E5" w:rsidP="00947F51">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Основным фактором, привлекающим внимание корпоративных клиентов, является также степень лояльности банка организации-партнеру. Это выражается, прежде всего, в более мягком подходе к вопросу кредитования корпоративных клиентов, особенно тех, с кем банк работает долгое время. Для клиентов транснациональных банков важно, насколько широкий продуктовый ряд может предложить им оператор рынка. Банк, предоставляющий клиенту не только выгодные условия по кредитованию, но и комплексное обслуживание, имеет бесспорное преимущество на рынке.</w:t>
      </w:r>
      <w:r w:rsidRPr="001D2769">
        <w:rPr>
          <w:rStyle w:val="apple-converted-space"/>
          <w:color w:val="000000"/>
          <w:sz w:val="28"/>
          <w:szCs w:val="28"/>
          <w:shd w:val="clear" w:color="auto" w:fill="FFFFFF"/>
        </w:rPr>
        <w:t> </w:t>
      </w:r>
    </w:p>
    <w:p w:rsidR="00E600E5" w:rsidRDefault="00E600E5" w:rsidP="00966E6D">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Транснациональные банки стараются предложить корпоративным клиентам самый широкий спектр услуг, для того чтобы</w:t>
      </w:r>
      <w:r>
        <w:rPr>
          <w:rStyle w:val="apple-style-span"/>
          <w:color w:val="000000"/>
          <w:sz w:val="28"/>
          <w:szCs w:val="28"/>
          <w:shd w:val="clear" w:color="auto" w:fill="FFFFFF"/>
        </w:rPr>
        <w:t xml:space="preserve"> у клиента не возникло необходи</w:t>
      </w:r>
      <w:r w:rsidRPr="001D2769">
        <w:rPr>
          <w:rStyle w:val="apple-style-span"/>
          <w:color w:val="000000"/>
          <w:sz w:val="28"/>
          <w:szCs w:val="28"/>
          <w:shd w:val="clear" w:color="auto" w:fill="FFFFFF"/>
        </w:rPr>
        <w:t>мости сотрудничать по каким-либо вопросам с другими банками. Факторами конкурентоспособности банка выступают оперативность рассмотрения вопросов, и стоимость различных услуг, и даже место расположения офиса банка. Но основными преимуществами для клиента являются постоянно совершенствующийся продуктовый ряд, индивидуальный подход к клиентам и оперативность принятия управленческих решений. Оперативное рассмотрение заявок, удобный сервис, отлаженные технологии ведут к детальной проработке бизнес-процессов и критической оценке возможностей банка.</w:t>
      </w:r>
      <w:r w:rsidRPr="001D2769">
        <w:rPr>
          <w:rStyle w:val="apple-converted-space"/>
          <w:color w:val="000000"/>
          <w:sz w:val="28"/>
          <w:szCs w:val="28"/>
          <w:shd w:val="clear" w:color="auto" w:fill="FFFFFF"/>
        </w:rPr>
        <w:t> </w:t>
      </w:r>
    </w:p>
    <w:p w:rsidR="00E600E5" w:rsidRPr="00966E6D" w:rsidRDefault="00E600E5" w:rsidP="00966E6D">
      <w:pPr>
        <w:spacing w:line="360" w:lineRule="auto"/>
        <w:ind w:firstLine="708"/>
        <w:jc w:val="both"/>
        <w:rPr>
          <w:rStyle w:val="apple-converted-space"/>
          <w:color w:val="000000"/>
          <w:sz w:val="28"/>
          <w:szCs w:val="28"/>
          <w:shd w:val="clear" w:color="auto" w:fill="FFFFFF"/>
          <w:lang w:val="uk-UA"/>
        </w:rPr>
      </w:pPr>
      <w:r w:rsidRPr="001D2769">
        <w:rPr>
          <w:rStyle w:val="apple-style-span"/>
          <w:color w:val="000000"/>
          <w:sz w:val="28"/>
          <w:szCs w:val="28"/>
          <w:shd w:val="clear" w:color="auto" w:fill="FFFFFF"/>
        </w:rPr>
        <w:t>Конкуренция, помимо процентных ставок и базовых условий по кредитованию, смещается в сторону качества предоставляемых услуг. От роста качества обслуживания выигрывает прежде всего клиент, получающий услугу, сформированную в условиях конкурентного рынка, а также банк, делающий акцент на качестве предоставляемых услуг.</w:t>
      </w:r>
      <w:r w:rsidRPr="001D2769">
        <w:rPr>
          <w:rStyle w:val="apple-converted-space"/>
          <w:color w:val="000000"/>
          <w:sz w:val="28"/>
          <w:szCs w:val="28"/>
          <w:shd w:val="clear" w:color="auto" w:fill="FFFFFF"/>
        </w:rPr>
        <w:t> </w:t>
      </w:r>
    </w:p>
    <w:p w:rsidR="00E600E5" w:rsidRPr="0065409A" w:rsidRDefault="00E600E5" w:rsidP="00947F51">
      <w:pPr>
        <w:spacing w:line="360" w:lineRule="auto"/>
        <w:ind w:firstLine="708"/>
        <w:jc w:val="center"/>
        <w:rPr>
          <w:rStyle w:val="apple-converted-space"/>
          <w:color w:val="000000"/>
          <w:shd w:val="clear" w:color="auto" w:fill="FFFFFF"/>
        </w:rPr>
      </w:pPr>
    </w:p>
    <w:p w:rsidR="00E600E5" w:rsidRPr="0065409A" w:rsidRDefault="00E600E5" w:rsidP="00947F51">
      <w:pPr>
        <w:spacing w:line="360" w:lineRule="auto"/>
        <w:ind w:firstLine="708"/>
        <w:jc w:val="both"/>
        <w:rPr>
          <w:color w:val="000000"/>
          <w:sz w:val="28"/>
          <w:szCs w:val="28"/>
          <w:shd w:val="clear" w:color="auto" w:fill="FFFFFF"/>
        </w:rPr>
      </w:pPr>
    </w:p>
    <w:p w:rsidR="00E600E5" w:rsidRPr="0065409A" w:rsidRDefault="00E600E5" w:rsidP="00947F51">
      <w:pPr>
        <w:spacing w:line="360" w:lineRule="auto"/>
        <w:ind w:firstLine="708"/>
        <w:jc w:val="both"/>
        <w:rPr>
          <w:color w:val="000000"/>
          <w:sz w:val="28"/>
          <w:szCs w:val="28"/>
          <w:shd w:val="clear" w:color="auto" w:fill="FFFFFF"/>
        </w:rPr>
      </w:pPr>
    </w:p>
    <w:p w:rsidR="00E600E5" w:rsidRPr="00FA7337" w:rsidRDefault="00E600E5" w:rsidP="00947F51">
      <w:pPr>
        <w:spacing w:line="360" w:lineRule="auto"/>
        <w:ind w:firstLine="708"/>
        <w:jc w:val="both"/>
        <w:rPr>
          <w:sz w:val="28"/>
          <w:szCs w:val="28"/>
        </w:rPr>
      </w:pPr>
    </w:p>
    <w:sectPr w:rsidR="00E600E5" w:rsidRPr="00FA7337" w:rsidSect="001D276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F1CDC"/>
    <w:multiLevelType w:val="hybridMultilevel"/>
    <w:tmpl w:val="0DB0988A"/>
    <w:lvl w:ilvl="0" w:tplc="B986EB6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E700B99"/>
    <w:multiLevelType w:val="hybridMultilevel"/>
    <w:tmpl w:val="3A0AE80E"/>
    <w:lvl w:ilvl="0" w:tplc="8BC4606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2769"/>
    <w:rsid w:val="000D3638"/>
    <w:rsid w:val="001D2769"/>
    <w:rsid w:val="00246EA7"/>
    <w:rsid w:val="002E0A5E"/>
    <w:rsid w:val="003246BA"/>
    <w:rsid w:val="00393CFC"/>
    <w:rsid w:val="004734F0"/>
    <w:rsid w:val="004A0DCC"/>
    <w:rsid w:val="004C33D1"/>
    <w:rsid w:val="00551258"/>
    <w:rsid w:val="005818EF"/>
    <w:rsid w:val="005A56E2"/>
    <w:rsid w:val="005A794E"/>
    <w:rsid w:val="00606174"/>
    <w:rsid w:val="0063317E"/>
    <w:rsid w:val="00633977"/>
    <w:rsid w:val="0065409A"/>
    <w:rsid w:val="006828A6"/>
    <w:rsid w:val="007A4DCC"/>
    <w:rsid w:val="00947F51"/>
    <w:rsid w:val="00966E6D"/>
    <w:rsid w:val="009B1E41"/>
    <w:rsid w:val="00A20C4B"/>
    <w:rsid w:val="00A21C10"/>
    <w:rsid w:val="00AC04D3"/>
    <w:rsid w:val="00B212DF"/>
    <w:rsid w:val="00B310EC"/>
    <w:rsid w:val="00C22291"/>
    <w:rsid w:val="00C877CF"/>
    <w:rsid w:val="00D52594"/>
    <w:rsid w:val="00D7676E"/>
    <w:rsid w:val="00E47339"/>
    <w:rsid w:val="00E600E5"/>
    <w:rsid w:val="00FA733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76E"/>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1D2769"/>
    <w:rPr>
      <w:rFonts w:cs="Times New Roman"/>
    </w:rPr>
  </w:style>
  <w:style w:type="character" w:customStyle="1" w:styleId="apple-converted-space">
    <w:name w:val="apple-converted-space"/>
    <w:basedOn w:val="DefaultParagraphFont"/>
    <w:uiPriority w:val="99"/>
    <w:rsid w:val="001D2769"/>
    <w:rPr>
      <w:rFonts w:cs="Times New Roman"/>
    </w:rPr>
  </w:style>
  <w:style w:type="character" w:styleId="Hyperlink">
    <w:name w:val="Hyperlink"/>
    <w:basedOn w:val="DefaultParagraphFont"/>
    <w:uiPriority w:val="99"/>
    <w:rsid w:val="001D2769"/>
    <w:rPr>
      <w:rFonts w:cs="Times New Roman"/>
      <w:color w:val="0000FF"/>
      <w:u w:val="single"/>
    </w:rPr>
  </w:style>
  <w:style w:type="paragraph" w:styleId="ListParagraph">
    <w:name w:val="List Paragraph"/>
    <w:basedOn w:val="Normal"/>
    <w:uiPriority w:val="99"/>
    <w:qFormat/>
    <w:rsid w:val="005512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5</Pages>
  <Words>5439</Words>
  <Characters>3101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18</cp:revision>
  <dcterms:created xsi:type="dcterms:W3CDTF">2015-03-26T13:47:00Z</dcterms:created>
  <dcterms:modified xsi:type="dcterms:W3CDTF">2015-04-29T13:17:00Z</dcterms:modified>
</cp:coreProperties>
</file>