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9AF" w:rsidRPr="00AF2633" w:rsidRDefault="00B959AF">
      <w:pPr>
        <w:spacing w:after="0" w:line="360" w:lineRule="auto"/>
        <w:jc w:val="right"/>
        <w:rPr>
          <w:rFonts w:ascii="Times New Roman" w:hAnsi="Times New Roman" w:cs="Times New Roman"/>
          <w:b/>
          <w:color w:val="000000"/>
          <w:sz w:val="28"/>
          <w:highlight w:val="white"/>
        </w:rPr>
      </w:pPr>
      <w:r w:rsidRPr="00AF2633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Михаил Васильев, Сергей Овчинников </w:t>
      </w:r>
    </w:p>
    <w:p w:rsidR="00B959AF" w:rsidRPr="00AF2633" w:rsidRDefault="00B959AF">
      <w:pPr>
        <w:spacing w:after="0" w:line="360" w:lineRule="auto"/>
        <w:jc w:val="right"/>
        <w:rPr>
          <w:rFonts w:ascii="Times New Roman" w:hAnsi="Times New Roman" w:cs="Times New Roman"/>
          <w:b/>
          <w:color w:val="000000"/>
          <w:sz w:val="28"/>
          <w:highlight w:val="white"/>
        </w:rPr>
      </w:pPr>
      <w:r w:rsidRPr="00AF2633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(Одесса, Украина)</w:t>
      </w:r>
    </w:p>
    <w:p w:rsidR="00B959AF" w:rsidRPr="00AF2633" w:rsidRDefault="00B959AF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lang w:val="en-US"/>
        </w:rPr>
      </w:pPr>
    </w:p>
    <w:p w:rsidR="00B959AF" w:rsidRDefault="00B959A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МЕХАНИЗМЫ УСТОЙЧИВОСТИ КЛЕТОК </w:t>
      </w:r>
    </w:p>
    <w:p w:rsidR="00B959AF" w:rsidRDefault="00B959A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PSEUDOMONASAERUGINOSA</w:t>
      </w:r>
      <w:r>
        <w:rPr>
          <w:rFonts w:ascii="Times New Roman" w:hAnsi="Times New Roman" w:cs="Times New Roman"/>
          <w:b/>
          <w:sz w:val="28"/>
        </w:rPr>
        <w:t xml:space="preserve"> В СОСТАВЕ БИОПЛЕНОК</w:t>
      </w:r>
    </w:p>
    <w:p w:rsidR="00B959AF" w:rsidRDefault="00B959A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пути прогресса антиботикотерапии инфекционных болезней существует несколько серьезных препятствий, одна из которых (наряду с генетической и приобретенной устойчивостью бактерий к антибиотикам) связана с бактериями, находящиеся в биопленке. Концентрации антибиотиков, требуемых для достижения бактерицидного эффекта для микроорганизмов, структурированных в биопленку, в некоторых случаях, в зависимости от природы антибиотика, может быть в 10-100 раз выше, чем для планктонных форм данной бактерии. Стандартное лечение антибиотиками способно уничтожить только планктонные клетки, не затрагивая прикрепленные формы, которые способны выживать в биопленке и размножаться, когда терапия закончена. Кроме того, патогены, живущие в биопленке, взаимодействуют с иммунной системой хозяина. Антигены бактерий биопленки стимулируют синтез антител, но при этом являются устойчивыми к механизмам защиты хозяина [4]. В результате, этот иммунный ответ может повреждать окружающие ткани [5], как, например, при артобстреле повреждаются стенки неприступного сооружения.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Резистентность – это способность микроорганизма расти в присутствии высоких концентраций антибактериального препарата. Чаще всего, клетки биопленки, взятые отдельно от экзополисахаридного матрикса, не более устойчивы, чем планктонные по отношению к широкому диапазону антибактериальных препаратов [9]. Однако в большинстве исследований зарегистрировано выживание клеток в предварительно сформированной биопленке. Более того, возможно, биопленка даже способна расти в их присутствии. Действительно, биопленки очень трудно поддаются уничтожению антибактериальными препаратами. Способность антибактериальных препаратов подавлять рост биопленки означает, что они могут распространяться сквозь ее толщу и активны в отношении своих мишеней, однако при этом клетки в ней не погибают [9].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Существует множество гипотез о механизмах устойчивости бактерий к антимикробным агентам, которая связана с переходом культуры в биопленку; наиболее общепринятыми из них являются следующие.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• </w:t>
      </w:r>
      <w:r>
        <w:rPr>
          <w:rFonts w:ascii="Times New Roman" w:hAnsi="Times New Roman" w:cs="Times New Roman"/>
          <w:b/>
          <w:sz w:val="28"/>
        </w:rPr>
        <w:t>Биопленка как барьер для диффузии антибиотиков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Естественным препятствием для доступа антибиотиков к клеткам в биопленке является экзополисахаридный матрикс. Долгое время биопленку считали непроницаемым барьером для антибиотиков. Однако в последние годы было доказано проникновение ципрофлоксацина и тобрамицина через модели биопленок </w:t>
      </w:r>
      <w:r>
        <w:rPr>
          <w:rFonts w:ascii="Times New Roman" w:hAnsi="Times New Roman" w:cs="Times New Roman"/>
          <w:i/>
          <w:sz w:val="28"/>
        </w:rPr>
        <w:t>Pseudomonas aeruginosa</w:t>
      </w:r>
      <w:r>
        <w:rPr>
          <w:rFonts w:ascii="Times New Roman" w:hAnsi="Times New Roman" w:cs="Times New Roman"/>
          <w:sz w:val="28"/>
        </w:rPr>
        <w:t xml:space="preserve"> на искусственных мембранах. Очевидно, прохождение антибиотиков через биопленку возможно благодаря системе каналов для воды и питательных веществ. При этом авторами отмечалась высокая устойчивость биопленок к данным антибиотикам [8]. Предполагают, что причиной этого может быть способность антибиотиков действовать лишь на небольшое количество метаболически активных клеток, находящихся в зонах с высоким содержанием кислорода. Одним из специфических полисахаридов в биопленках, который может обеспечивать устойчивость к антибиотикам, являются периплазматические глюканы. Хотя они не препятствуют диффузии антибиотиков в биопленке, по данным Mah T. F. et al., глюканы могут связывать тобрамицин и препятствовать его проникновению в клетки [10].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• </w:t>
      </w:r>
      <w:r>
        <w:rPr>
          <w:rFonts w:ascii="Times New Roman" w:hAnsi="Times New Roman" w:cs="Times New Roman"/>
          <w:b/>
          <w:sz w:val="28"/>
        </w:rPr>
        <w:t xml:space="preserve">Селекция резистентных персистирующих клеток 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Одним из важных механизмов устойчивости к антибиотикам является селекция так называемых «персистирующих клеток». Доказано, что под влиянием субингибирующих концентраций антибиотиков происходит некоторая естественная селекция устойчивых клеток, в результате чего до 10% микробной популяции составляют нечувствительные «клетки-персистеры». Этот механизм не является специфическим для биопленок; более того, при сравнении селекции устойчивых клеток в растущей планктонной культуре, планктонной культуре стационарной фазы и биопленке выявлено, что эффективнее всего этот процесс происходит в культуре стационарной фазы [1].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Причиной этого полагают полное отсутствие роста бактерий в стационарной фазе, даже по сравнению с биопленкой, мишеней для антибиотиков, которыми обычно являются процессы синтеза белка, клеточной стенки или ДНК, происходящие в фазы активного роста. Под спецификой селекции «клеток-персистеров» в биопленке понимают присутствие некоторой части популяции, особенно в зонах с недостаточным доступом кислорода и питательных веществ, в дормантном состоянии, когда все процессы роста замедлены или приостановлены [1].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• Влияние гетерогенности условий в биопленке 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формирование рассмотренных выше персистирующих клеток большое влияние оказывает гетерогенность условий, естественным образом возникающая в биопленке. Разница доступа кислорода, питательных веществ, рН в разных слоях биопленки создает условия для одновременного существования клеток как с разной скоростью и направленностью процессов метаболизма, так и находящихся в разных фазах роста. Такая гетерогенность представляет проблему при использовании антибиотика, действующего, например, лишь на фазе активного роста микробных клеток; решением может быть комбинация нескольких антимикробных препаратов разного механизма действия [2].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• </w:t>
      </w:r>
      <w:r>
        <w:rPr>
          <w:rFonts w:ascii="Times New Roman" w:hAnsi="Times New Roman" w:cs="Times New Roman"/>
          <w:b/>
          <w:sz w:val="28"/>
        </w:rPr>
        <w:t>Гипермутабельность в биопленках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Помимо прочих, одним из источников селекции устойчивых к антибиотикам клеток является гипермутабельность в биопленках. </w:t>
      </w:r>
      <w:r>
        <w:rPr>
          <w:rFonts w:ascii="Times New Roman" w:hAnsi="Times New Roman" w:cs="Times New Roman"/>
          <w:i/>
          <w:iCs/>
          <w:sz w:val="28"/>
        </w:rPr>
        <w:t>P. aeruginosa</w:t>
      </w:r>
      <w:r>
        <w:rPr>
          <w:rFonts w:ascii="Times New Roman" w:hAnsi="Times New Roman" w:cs="Times New Roman"/>
          <w:sz w:val="28"/>
        </w:rPr>
        <w:t xml:space="preserve"> отличается чрезвычайной мутабельностью. Так, под воздействием сильной антибиотикотерапии количество мутаций в биопленках </w:t>
      </w:r>
      <w:r>
        <w:rPr>
          <w:rFonts w:ascii="Times New Roman" w:hAnsi="Times New Roman" w:cs="Times New Roman"/>
          <w:i/>
          <w:sz w:val="28"/>
        </w:rPr>
        <w:t>P. aeruginosa</w:t>
      </w:r>
      <w:r>
        <w:rPr>
          <w:rFonts w:ascii="Times New Roman" w:hAnsi="Times New Roman" w:cs="Times New Roman"/>
          <w:sz w:val="28"/>
        </w:rPr>
        <w:t xml:space="preserve"> может достигать 20 %. Основной причиной мутаций являются повреждения ДНК, часто вызванные оксидативным стрессом (например, под воздействием активных форм кислорода клеток иммунной системы), и нарушения систем репарации у бактерий (в частности, mismatch-репарации). В результате мутаций могут селекционироваться штаммы, устойчивые сразу ко многим антибактериальным препаратам (так называемые MDR – multidrug-resistant strains) [8].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• </w:t>
      </w:r>
      <w:r>
        <w:rPr>
          <w:rFonts w:ascii="Times New Roman" w:hAnsi="Times New Roman" w:cs="Times New Roman"/>
          <w:b/>
          <w:sz w:val="28"/>
        </w:rPr>
        <w:t>Эффлюксные помпы и ферментативная деградация антибиотиков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Еще одним неспецифическим для биопленок механизмом резистентности являются системы активного выброса (эффлюкс) антибиотика, а также продуктов синтеза самой клетки. У </w:t>
      </w:r>
      <w:r>
        <w:rPr>
          <w:rFonts w:ascii="Times New Roman" w:hAnsi="Times New Roman" w:cs="Times New Roman"/>
          <w:i/>
          <w:sz w:val="28"/>
        </w:rPr>
        <w:t>P. aeruginosa</w:t>
      </w:r>
      <w:r>
        <w:rPr>
          <w:rFonts w:ascii="Times New Roman" w:hAnsi="Times New Roman" w:cs="Times New Roman"/>
          <w:sz w:val="28"/>
        </w:rPr>
        <w:t xml:space="preserve"> на сегодня зарегистрировано 5 различных систем эффлюкса; предполагают наличие до 30 таких систем. Одним из продуктов, транспортирующихся через эффлюксные помпы у </w:t>
      </w:r>
      <w:r>
        <w:rPr>
          <w:rFonts w:ascii="Times New Roman" w:hAnsi="Times New Roman" w:cs="Times New Roman"/>
          <w:i/>
          <w:iCs/>
          <w:sz w:val="28"/>
        </w:rPr>
        <w:t>P.</w:t>
      </w:r>
      <w:r>
        <w:rPr>
          <w:rFonts w:ascii="Times New Roman" w:hAnsi="Times New Roman" w:cs="Times New Roman"/>
          <w:i/>
          <w:sz w:val="28"/>
        </w:rPr>
        <w:t xml:space="preserve"> aeruginosa</w:t>
      </w:r>
      <w:r>
        <w:rPr>
          <w:rFonts w:ascii="Times New Roman" w:hAnsi="Times New Roman" w:cs="Times New Roman"/>
          <w:sz w:val="28"/>
        </w:rPr>
        <w:t>, являются β-лактамазы, обеспечивающие устойчивость к антипсевдомонадным пенициллинам [3].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• </w:t>
      </w:r>
      <w:r>
        <w:rPr>
          <w:rFonts w:ascii="Times New Roman" w:hAnsi="Times New Roman" w:cs="Times New Roman"/>
          <w:b/>
          <w:sz w:val="28"/>
        </w:rPr>
        <w:t xml:space="preserve">Снижение общей вирулентности при формировании биоплёнок 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экспериментальных условиях часто наблюдается феномен снижения общей продукции факторов вирулентности на этапе размножения и созревания биопленки. Логически это явление обоснованно тем, что до достижения некоторого критического для колонизации всего организма количества возбудителя основную нагрузку будут иметь механизмы маскировки от иммунной системы и размножения клеток. В клинической практике это явление может проявляться как временное исчезновение симптомов после начального курса антибиотикотерапии и переход инфекции в латентную фазу [11].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Клетки </w:t>
      </w:r>
      <w:r>
        <w:rPr>
          <w:rFonts w:ascii="Times New Roman" w:hAnsi="Times New Roman" w:cs="Times New Roman"/>
          <w:i/>
          <w:iCs/>
          <w:sz w:val="28"/>
        </w:rPr>
        <w:t>P.</w:t>
      </w:r>
      <w:r>
        <w:rPr>
          <w:rFonts w:ascii="Times New Roman" w:hAnsi="Times New Roman" w:cs="Times New Roman"/>
          <w:i/>
          <w:sz w:val="28"/>
        </w:rPr>
        <w:t>aeruginosa</w:t>
      </w:r>
      <w:r>
        <w:rPr>
          <w:rFonts w:ascii="Times New Roman" w:hAnsi="Times New Roman" w:cs="Times New Roman"/>
          <w:sz w:val="28"/>
        </w:rPr>
        <w:t xml:space="preserve"> устойчивы к действию многих β-лактамов, аминогликозидов, цефалоспоринов и фторхинолонов. 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Инфекции, вызванные </w:t>
      </w:r>
      <w:r>
        <w:rPr>
          <w:rFonts w:ascii="Times New Roman" w:hAnsi="Times New Roman" w:cs="Times New Roman"/>
          <w:i/>
          <w:iCs/>
          <w:sz w:val="28"/>
        </w:rPr>
        <w:t>P.</w:t>
      </w:r>
      <w:r>
        <w:rPr>
          <w:rFonts w:ascii="Times New Roman" w:hAnsi="Times New Roman" w:cs="Times New Roman"/>
          <w:i/>
          <w:sz w:val="28"/>
        </w:rPr>
        <w:t>аeruginosa</w:t>
      </w:r>
      <w:r>
        <w:rPr>
          <w:rFonts w:ascii="Times New Roman" w:hAnsi="Times New Roman" w:cs="Times New Roman"/>
          <w:sz w:val="28"/>
        </w:rPr>
        <w:t xml:space="preserve"> на сегодняшний день излечимы, несмотря на то, что плохо поддаются терапии в связи с множественной её резистентностью, передаваемой R-плазмидами.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Механизмы резистентности </w:t>
      </w:r>
      <w:r>
        <w:rPr>
          <w:rFonts w:ascii="Times New Roman" w:hAnsi="Times New Roman" w:cs="Times New Roman"/>
          <w:i/>
          <w:iCs/>
          <w:sz w:val="28"/>
        </w:rPr>
        <w:t>P.</w:t>
      </w:r>
      <w:r>
        <w:rPr>
          <w:rFonts w:ascii="Times New Roman" w:hAnsi="Times New Roman" w:cs="Times New Roman"/>
          <w:i/>
          <w:sz w:val="28"/>
        </w:rPr>
        <w:t xml:space="preserve"> aeruginosa</w:t>
      </w:r>
      <w:r>
        <w:rPr>
          <w:rFonts w:ascii="Times New Roman" w:hAnsi="Times New Roman" w:cs="Times New Roman"/>
          <w:sz w:val="28"/>
        </w:rPr>
        <w:t xml:space="preserve">: блокирование транспорта антибиотика к внутриклеточной мишени и инактивация ферментами (β-лактамазы инактивируют пенициллины и цефалоспорины, ацетилтрансфераза и нуклеотидаза инактивируют аминoгликозиды). В исследовании NPRS-3, для синегнойной палочки был характерен высокий уровень резистентности к гентамицину (61,3 %), а также к пиперациллину, пиперациллину/тазобактаму, ципрофлоксацину. Наиболее активными в отношении </w:t>
      </w:r>
      <w:r>
        <w:rPr>
          <w:rFonts w:ascii="Times New Roman" w:hAnsi="Times New Roman" w:cs="Times New Roman"/>
          <w:i/>
          <w:iCs/>
          <w:sz w:val="28"/>
        </w:rPr>
        <w:t>P.</w:t>
      </w:r>
      <w:r>
        <w:rPr>
          <w:rFonts w:ascii="Times New Roman" w:hAnsi="Times New Roman" w:cs="Times New Roman"/>
          <w:i/>
          <w:sz w:val="28"/>
        </w:rPr>
        <w:t>aeruginosa</w:t>
      </w:r>
      <w:r>
        <w:rPr>
          <w:rFonts w:ascii="Times New Roman" w:hAnsi="Times New Roman" w:cs="Times New Roman"/>
          <w:sz w:val="28"/>
        </w:rPr>
        <w:t xml:space="preserve"> являлись амикацин (резистентность 6,7 %) и цефтазидим (резистентность 11,2 %), меропенем (резистентность 3 %) [7].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Возбудитель устойчив к действию антисептиков и дезинфектантов, может сохраняться в растворах фурацилина, способен нейтрализовать некоторые дезинфектанты, чувствителен к высушиванию, хлорсодержащим веществам, высоким температурам и давлению. 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Следует отметить, что информация о чувствительности псевдомонад к различным антимикробным агентам касается преимущественно штаммов клинического происхождения, а подавляющее большинство сообщений на эту тему посвящено </w:t>
      </w:r>
      <w:r>
        <w:rPr>
          <w:rFonts w:ascii="Times New Roman" w:hAnsi="Times New Roman" w:cs="Times New Roman"/>
          <w:i/>
          <w:iCs/>
          <w:sz w:val="28"/>
        </w:rPr>
        <w:t>P. aeruginosa</w:t>
      </w:r>
      <w:r>
        <w:rPr>
          <w:rFonts w:ascii="Times New Roman" w:hAnsi="Times New Roman" w:cs="Times New Roman"/>
          <w:sz w:val="28"/>
        </w:rPr>
        <w:t xml:space="preserve">. В этой связи особого внимания заслуживает работа по изучению действия этилендиаминтетрауксусной кислоты (ЭДТА) на различные виды </w:t>
      </w:r>
      <w:r>
        <w:rPr>
          <w:rFonts w:ascii="Times New Roman" w:hAnsi="Times New Roman" w:cs="Times New Roman"/>
          <w:i/>
          <w:iCs/>
          <w:sz w:val="28"/>
        </w:rPr>
        <w:t>Pseudomonas</w:t>
      </w:r>
      <w:r>
        <w:rPr>
          <w:rFonts w:ascii="Times New Roman" w:hAnsi="Times New Roman" w:cs="Times New Roman"/>
          <w:sz w:val="28"/>
        </w:rPr>
        <w:t xml:space="preserve">, разрушающей определенные связи в наружной мембране псевдомонад. 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Ряд красителей под действием света обладал антимикробным эффектом в отношении некоторых видов псевдомонад, т. е. характеризовался наличием фотодинамической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активностью в том числе таких высокоустойчивых к антимикробным агентам видов, как </w:t>
      </w:r>
      <w:r>
        <w:rPr>
          <w:rFonts w:ascii="Times New Roman" w:hAnsi="Times New Roman" w:cs="Times New Roman"/>
          <w:i/>
          <w:iCs/>
          <w:sz w:val="28"/>
        </w:rPr>
        <w:t>Р. aeruginosa</w:t>
      </w:r>
      <w:r>
        <w:rPr>
          <w:rFonts w:ascii="Times New Roman" w:hAnsi="Times New Roman" w:cs="Times New Roman"/>
          <w:sz w:val="28"/>
        </w:rPr>
        <w:t xml:space="preserve"> и </w:t>
      </w:r>
      <w:r>
        <w:rPr>
          <w:rFonts w:ascii="Times New Roman" w:hAnsi="Times New Roman" w:cs="Times New Roman"/>
          <w:i/>
          <w:iCs/>
          <w:sz w:val="28"/>
        </w:rPr>
        <w:t>Pseudomonas aureofaciens</w:t>
      </w:r>
      <w:r>
        <w:rPr>
          <w:rFonts w:ascii="Times New Roman" w:hAnsi="Times New Roman" w:cs="Times New Roman"/>
          <w:sz w:val="28"/>
        </w:rPr>
        <w:t>. Это, прежде всего, арилметановые красители группы эозина – дихлорфлюоресцеин, йодэозин, эозинкалий, бенгальская роза, в обычных условиях антибиотически мало активные. Под влиянием облучения эти вещества приобретали способность тормозить рост многих флюоресцирующих бактерий</w:t>
      </w:r>
      <w:r>
        <w:rPr>
          <w:rFonts w:ascii="Times New Roman" w:hAnsi="Times New Roman" w:cs="Times New Roman"/>
          <w:i/>
          <w:iCs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в том числе </w:t>
      </w:r>
      <w:r>
        <w:rPr>
          <w:rFonts w:ascii="Times New Roman" w:hAnsi="Times New Roman" w:cs="Times New Roman"/>
          <w:i/>
          <w:iCs/>
          <w:sz w:val="28"/>
        </w:rPr>
        <w:t>Pseudomonas mendocina</w:t>
      </w:r>
      <w:r>
        <w:rPr>
          <w:rFonts w:ascii="Times New Roman" w:hAnsi="Times New Roman" w:cs="Times New Roman"/>
          <w:sz w:val="28"/>
        </w:rPr>
        <w:t>.</w:t>
      </w:r>
    </w:p>
    <w:p w:rsidR="00B959AF" w:rsidRDefault="00B95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Значительный фотодинамический эффект наблюдался также у акридиновых красителей – риванола и акридинового оранжевого, сафранина, тионина, крезол-блау и гематоксилина [6].</w:t>
      </w:r>
    </w:p>
    <w:p w:rsidR="00B959AF" w:rsidRDefault="00B959AF" w:rsidP="00AF2633">
      <w:pPr>
        <w:spacing w:after="0" w:line="360" w:lineRule="auto"/>
        <w:rPr>
          <w:rFonts w:ascii="Times New Roman" w:hAnsi="Times New Roman" w:cs="Times New Roman"/>
          <w:color w:val="000000"/>
          <w:sz w:val="28"/>
          <w:highlight w:val="white"/>
        </w:rPr>
      </w:pP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Литература:</w:t>
      </w:r>
    </w:p>
    <w:p w:rsidR="00B959AF" w:rsidRDefault="00B959AF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 xml:space="preserve">Горбунов В. А., Титов Л. П., Ермакова Т. С. Многоцентровое исследование антибиотикорезистентности нозокомиальных штаммов </w:t>
      </w:r>
      <w:r>
        <w:rPr>
          <w:rFonts w:ascii="Times New Roman" w:hAnsi="Times New Roman" w:cs="Times New Roman"/>
          <w:i/>
          <w:sz w:val="28"/>
          <w:shd w:val="clear" w:color="auto" w:fill="FFFFFF"/>
        </w:rPr>
        <w:t>Pseudomonasaeruginosa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в Республике Беларусь // Здравоохранение. – 2007. – № 1. – С. 28 – 31.</w:t>
      </w:r>
    </w:p>
    <w:p w:rsidR="00B959AF" w:rsidRDefault="00B959AF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>Гудкова Е. И. Формирование устойчивости к антисептикам и дезинфектантам возбудителей внутрибольничных инфекций и её микробиологический мониторинг // Бел. мед. журн. – 2003. – № 3. – С. 57 – 60.</w:t>
      </w:r>
    </w:p>
    <w:p w:rsidR="00B959AF" w:rsidRDefault="00B959AF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 xml:space="preserve">Мележик И. А., Яворская Н. В., Шепелевич В. В., Кокозей В. Н. Роль биоплёнок </w:t>
      </w:r>
      <w:r>
        <w:rPr>
          <w:rFonts w:ascii="Times New Roman" w:hAnsi="Times New Roman" w:cs="Times New Roman"/>
          <w:i/>
          <w:sz w:val="28"/>
          <w:shd w:val="clear" w:color="auto" w:fill="FFFFFF"/>
        </w:rPr>
        <w:t>Рseudomonas aeruginosa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в развитии эндогенных инфекций // Бюллетень Оренбургского научного центра УрО РАН (электронный журнал). – 2013. – № 3. – С. 1 – 28. </w:t>
      </w:r>
    </w:p>
    <w:p w:rsidR="00B959AF" w:rsidRDefault="00B959AF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highlight w:val="white"/>
          <w:lang w:val="en-US"/>
        </w:rPr>
      </w:pP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>Costerton J. W., Stewart P. S., Greenberg E. P. Bacterial biofilms: a common cause of persistent infections // Science. – 1999. – V. 284. – P. 1318 – 1322.</w:t>
      </w:r>
    </w:p>
    <w:p w:rsidR="00B959AF" w:rsidRDefault="00B959AF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highlight w:val="white"/>
          <w:lang w:val="en-US"/>
        </w:rPr>
      </w:pP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 xml:space="preserve">Davey M. E., O'Toole G. A. Microbial Biofilms: from Ecology to Molecular Genetics // Microbiology and Molecular Biology Reviews. – 2000. – V. 64, № 4. – P. 847 –867. </w:t>
      </w:r>
    </w:p>
    <w:p w:rsidR="00B959AF" w:rsidRDefault="00B959AF">
      <w:pPr>
        <w:pStyle w:val="ListParagraph"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 xml:space="preserve">Fung D. Y., Miller R. R. Effect of dyes on bacterial grow th// Appl. Microbiol. Gilbert, P.,  Das J.,  Foley I. 1997. Biofilms susceptibility to antimicrobials.— 1973. — 25, N 5. — P. 793—798. </w:t>
      </w:r>
    </w:p>
    <w:p w:rsidR="00B959AF" w:rsidRDefault="00B959AF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</w:pP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 xml:space="preserve">Hachem RY, Chemaly RF, Ahmar CA, et al. </w:t>
      </w:r>
      <w:r w:rsidRPr="00AF2633">
        <w:rPr>
          <w:rFonts w:ascii="Times New Roman" w:hAnsi="Times New Roman" w:cs="Times New Roman"/>
          <w:sz w:val="28"/>
          <w:shd w:val="clear" w:color="auto" w:fill="FFFFFF"/>
          <w:lang w:val="en-GB"/>
        </w:rPr>
        <w:t xml:space="preserve">(2007). </w:t>
      </w: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 xml:space="preserve">"Colistin is effective in treatment of infections caused by multidrug-resistant Pseudomonas aeruginosa in cancer patients". </w:t>
      </w:r>
      <w:r>
        <w:rPr>
          <w:rFonts w:ascii="Times New Roman" w:hAnsi="Times New Roman" w:cs="Times New Roman"/>
          <w:sz w:val="28"/>
          <w:shd w:val="clear" w:color="auto" w:fill="FFFFFF"/>
        </w:rPr>
        <w:t>Antimicrob. Agents Chemother. 51 (6): 1905–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19</w:t>
      </w:r>
      <w:r>
        <w:rPr>
          <w:rFonts w:ascii="Times New Roman" w:hAnsi="Times New Roman" w:cs="Times New Roman"/>
          <w:sz w:val="28"/>
          <w:shd w:val="clear" w:color="auto" w:fill="FFFFFF"/>
        </w:rPr>
        <w:t>11.</w:t>
      </w:r>
    </w:p>
    <w:p w:rsidR="00B959AF" w:rsidRDefault="00B959AF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highlight w:val="white"/>
          <w:lang w:val="en-US"/>
        </w:rPr>
      </w:pP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 xml:space="preserve">Japoni A., Farshad S., Alborzi A. </w:t>
      </w:r>
      <w:r>
        <w:rPr>
          <w:rFonts w:ascii="Times New Roman" w:hAnsi="Times New Roman" w:cs="Times New Roman"/>
          <w:i/>
          <w:sz w:val="28"/>
          <w:shd w:val="clear" w:color="auto" w:fill="FFFFFF"/>
          <w:lang w:val="en-US"/>
        </w:rPr>
        <w:t>Pseudomonas aeruginosa</w:t>
      </w: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 xml:space="preserve">: Burn Infection, Treatment and Antibacterial Resistance // Iranian Red Crescent Medical Journal. – 2009. – V. 11. – </w:t>
      </w:r>
      <w:r>
        <w:rPr>
          <w:rFonts w:ascii="Times New Roman" w:hAnsi="Times New Roman" w:cs="Times New Roman"/>
          <w:sz w:val="28"/>
          <w:shd w:val="clear" w:color="auto" w:fill="FFFFFF"/>
        </w:rPr>
        <w:t>Р</w:t>
      </w: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>. 244 – 253.</w:t>
      </w:r>
    </w:p>
    <w:p w:rsidR="00B959AF" w:rsidRPr="00AF2633" w:rsidRDefault="00B959AF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lang w:val="en-GB"/>
        </w:rPr>
      </w:pP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 xml:space="preserve">Lewis, K. 2000. Programmed death in bacteria. </w:t>
      </w:r>
      <w:r w:rsidRPr="00AF2633">
        <w:rPr>
          <w:rFonts w:ascii="Times New Roman" w:hAnsi="Times New Roman" w:cs="Times New Roman"/>
          <w:sz w:val="28"/>
          <w:shd w:val="clear" w:color="auto" w:fill="FFFFFF"/>
          <w:lang w:val="en-GB"/>
        </w:rPr>
        <w:t xml:space="preserve">Microbiol. Mol. Biol. </w:t>
      </w: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>V</w:t>
      </w:r>
      <w:r w:rsidRPr="00AF2633">
        <w:rPr>
          <w:rFonts w:ascii="Times New Roman" w:hAnsi="Times New Roman" w:cs="Times New Roman"/>
          <w:sz w:val="28"/>
          <w:shd w:val="clear" w:color="auto" w:fill="FFFFFF"/>
          <w:lang w:val="en-GB"/>
        </w:rPr>
        <w:t xml:space="preserve">.64, 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- </w:t>
      </w: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>P.</w:t>
      </w:r>
      <w:r w:rsidRPr="00AF2633">
        <w:rPr>
          <w:rFonts w:ascii="Times New Roman" w:hAnsi="Times New Roman" w:cs="Times New Roman"/>
          <w:sz w:val="28"/>
          <w:shd w:val="clear" w:color="auto" w:fill="FFFFFF"/>
          <w:lang w:val="en-GB"/>
        </w:rPr>
        <w:t>503-514.</w:t>
      </w:r>
    </w:p>
    <w:p w:rsidR="00B959AF" w:rsidRDefault="00B959AF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highlight w:val="white"/>
          <w:lang w:val="en-US"/>
        </w:rPr>
      </w:pP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 xml:space="preserve">Mah T.F., Pitts B., Pellock B. A genetic basis for </w:t>
      </w:r>
      <w:r>
        <w:rPr>
          <w:rFonts w:ascii="Times New Roman" w:hAnsi="Times New Roman" w:cs="Times New Roman"/>
          <w:i/>
          <w:sz w:val="28"/>
          <w:shd w:val="clear" w:color="auto" w:fill="FFFFFF"/>
          <w:lang w:val="en-US"/>
        </w:rPr>
        <w:t>Pseudomonas aeruginosa</w:t>
      </w: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 xml:space="preserve"> biofilm antibiotic resistance // Nature. – 2003. – V. 426. – </w:t>
      </w:r>
      <w:r>
        <w:rPr>
          <w:rFonts w:ascii="Times New Roman" w:hAnsi="Times New Roman" w:cs="Times New Roman"/>
          <w:sz w:val="28"/>
          <w:shd w:val="clear" w:color="auto" w:fill="FFFFFF"/>
        </w:rPr>
        <w:t>Р</w:t>
      </w: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>. 306 – 310.</w:t>
      </w:r>
    </w:p>
    <w:p w:rsidR="00B959AF" w:rsidRDefault="00B959AF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 xml:space="preserve">Mulcahy L.R., Isabella V.M., Lewis K. </w:t>
      </w:r>
      <w:r>
        <w:rPr>
          <w:rFonts w:ascii="Times New Roman" w:hAnsi="Times New Roman" w:cs="Times New Roman"/>
          <w:i/>
          <w:sz w:val="28"/>
          <w:shd w:val="clear" w:color="auto" w:fill="FFFFFF"/>
          <w:lang w:val="en-US"/>
        </w:rPr>
        <w:t>Pseudomonas aeruginosa</w:t>
      </w: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 xml:space="preserve"> biofilms in disease // Microb. </w:t>
      </w:r>
      <w:r>
        <w:rPr>
          <w:rFonts w:ascii="Times New Roman" w:hAnsi="Times New Roman" w:cs="Times New Roman"/>
          <w:sz w:val="28"/>
          <w:shd w:val="clear" w:color="auto" w:fill="FFFFFF"/>
        </w:rPr>
        <w:t>Ecol. – 2013. – V. 6. – Р. 76 – 79.</w:t>
      </w:r>
    </w:p>
    <w:p w:rsidR="00B959AF" w:rsidRDefault="00B959AF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hd w:val="clear" w:color="auto" w:fill="FFFFFF"/>
        </w:rPr>
      </w:pPr>
    </w:p>
    <w:p w:rsidR="00B959AF" w:rsidRDefault="00B959AF" w:rsidP="00AF2633">
      <w:pPr>
        <w:spacing w:after="0" w:line="360" w:lineRule="auto"/>
        <w:jc w:val="right"/>
        <w:rPr>
          <w:rFonts w:ascii="Times New Roman" w:hAnsi="Times New Roman" w:cs="Times New Roman"/>
          <w:b/>
          <w:color w:val="000000"/>
          <w:sz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Научный руководитель:</w:t>
      </w:r>
    </w:p>
    <w:p w:rsidR="00B959AF" w:rsidRPr="00AF2633" w:rsidRDefault="00B959AF" w:rsidP="00AF2633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кандидат биологических наук, доцент Русакова Мария Юрьевна</w:t>
      </w:r>
      <w:r w:rsidRPr="00AF2633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B959AF" w:rsidRDefault="00B959AF">
      <w:pPr>
        <w:spacing w:after="0" w:line="360" w:lineRule="auto"/>
        <w:jc w:val="both"/>
      </w:pPr>
    </w:p>
    <w:sectPr w:rsidR="00B959AF" w:rsidSect="006A4B36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A79D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5CA626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B36"/>
    <w:rsid w:val="006A4B36"/>
    <w:rsid w:val="00AF2633"/>
    <w:rsid w:val="00B959AF"/>
    <w:rsid w:val="00DB62B0"/>
    <w:rsid w:val="00ED2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attachedSchema w:val="urn:schemas:contact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B36"/>
    <w:pPr>
      <w:spacing w:after="200" w:line="276" w:lineRule="auto"/>
    </w:pPr>
    <w:rPr>
      <w:lang w:val="ru-RU" w:eastAsia="ru-RU"/>
    </w:rPr>
  </w:style>
  <w:style w:type="paragraph" w:styleId="Heading1">
    <w:name w:val="heading 1"/>
    <w:basedOn w:val="a"/>
    <w:link w:val="Heading1Char"/>
    <w:uiPriority w:val="99"/>
    <w:qFormat/>
    <w:rsid w:val="006A4B36"/>
    <w:pPr>
      <w:outlineLvl w:val="0"/>
    </w:pPr>
  </w:style>
  <w:style w:type="paragraph" w:styleId="Heading2">
    <w:name w:val="heading 2"/>
    <w:basedOn w:val="a"/>
    <w:link w:val="Heading2Char"/>
    <w:uiPriority w:val="99"/>
    <w:qFormat/>
    <w:rsid w:val="006A4B36"/>
    <w:pPr>
      <w:outlineLvl w:val="1"/>
    </w:pPr>
  </w:style>
  <w:style w:type="paragraph" w:styleId="Heading3">
    <w:name w:val="heading 3"/>
    <w:basedOn w:val="a"/>
    <w:link w:val="Heading3Char"/>
    <w:uiPriority w:val="99"/>
    <w:qFormat/>
    <w:rsid w:val="006A4B36"/>
    <w:p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1D0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11D0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11D0"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customStyle="1" w:styleId="a">
    <w:name w:val="Заголовок"/>
    <w:basedOn w:val="Normal"/>
    <w:next w:val="BodyText"/>
    <w:uiPriority w:val="99"/>
    <w:rsid w:val="006A4B3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A4B36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011D0"/>
    <w:rPr>
      <w:lang w:val="ru-RU" w:eastAsia="ru-RU"/>
    </w:rPr>
  </w:style>
  <w:style w:type="paragraph" w:styleId="List">
    <w:name w:val="List"/>
    <w:basedOn w:val="BodyText"/>
    <w:uiPriority w:val="99"/>
    <w:rsid w:val="006A4B36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6A4B36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8011D0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Normal"/>
    <w:uiPriority w:val="99"/>
    <w:rsid w:val="006A4B36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paragraph" w:customStyle="1" w:styleId="a0">
    <w:name w:val="Блочная цитата"/>
    <w:basedOn w:val="Normal"/>
    <w:uiPriority w:val="99"/>
    <w:rsid w:val="006A4B36"/>
  </w:style>
  <w:style w:type="paragraph" w:customStyle="1" w:styleId="a1">
    <w:name w:val="Заглавие"/>
    <w:basedOn w:val="a"/>
    <w:uiPriority w:val="99"/>
    <w:rsid w:val="006A4B36"/>
  </w:style>
  <w:style w:type="paragraph" w:styleId="Subtitle">
    <w:name w:val="Subtitle"/>
    <w:basedOn w:val="a"/>
    <w:link w:val="SubtitleChar"/>
    <w:uiPriority w:val="99"/>
    <w:qFormat/>
    <w:rsid w:val="006A4B36"/>
  </w:style>
  <w:style w:type="character" w:customStyle="1" w:styleId="SubtitleChar">
    <w:name w:val="Subtitle Char"/>
    <w:basedOn w:val="DefaultParagraphFont"/>
    <w:link w:val="Subtitle"/>
    <w:uiPriority w:val="11"/>
    <w:rsid w:val="008011D0"/>
    <w:rPr>
      <w:rFonts w:asciiTheme="majorHAnsi" w:eastAsiaTheme="majorEastAsia" w:hAnsiTheme="majorHAnsi" w:cstheme="majorBidi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7</Pages>
  <Words>7203</Words>
  <Characters>4106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8</cp:revision>
  <dcterms:created xsi:type="dcterms:W3CDTF">2015-12-23T12:40:00Z</dcterms:created>
  <dcterms:modified xsi:type="dcterms:W3CDTF">2015-12-25T10:08:00Z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