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1FD4" w:rsidRPr="002C39EE" w:rsidRDefault="00B41FD4" w:rsidP="00DE1861">
      <w:pPr>
        <w:spacing w:after="0" w:line="360" w:lineRule="auto"/>
        <w:contextualSpacing/>
        <w:jc w:val="right"/>
        <w:rPr>
          <w:rFonts w:ascii="Times New Roman" w:hAnsi="Times New Roman"/>
          <w:b/>
          <w:sz w:val="28"/>
          <w:szCs w:val="28"/>
          <w:lang w:val="uk-UA"/>
        </w:rPr>
      </w:pPr>
      <w:r w:rsidRPr="002C39EE">
        <w:rPr>
          <w:rFonts w:ascii="Times New Roman" w:hAnsi="Times New Roman"/>
          <w:b/>
          <w:sz w:val="28"/>
          <w:szCs w:val="28"/>
          <w:lang w:val="uk-UA"/>
        </w:rPr>
        <w:t>Юлія Нікіфорчук</w:t>
      </w:r>
    </w:p>
    <w:p w:rsidR="00B41FD4" w:rsidRPr="002C39EE" w:rsidRDefault="00B41FD4" w:rsidP="00DE1861">
      <w:pPr>
        <w:spacing w:after="0" w:line="360" w:lineRule="auto"/>
        <w:contextualSpacing/>
        <w:jc w:val="right"/>
        <w:rPr>
          <w:rFonts w:ascii="Times New Roman" w:hAnsi="Times New Roman"/>
          <w:b/>
          <w:sz w:val="28"/>
          <w:szCs w:val="28"/>
          <w:lang w:val="uk-UA"/>
        </w:rPr>
      </w:pPr>
      <w:r w:rsidRPr="002C39EE">
        <w:rPr>
          <w:rFonts w:ascii="Times New Roman" w:hAnsi="Times New Roman"/>
          <w:b/>
          <w:sz w:val="28"/>
          <w:szCs w:val="28"/>
          <w:lang w:val="uk-UA"/>
        </w:rPr>
        <w:t>(Вінниця, Україна)</w:t>
      </w:r>
    </w:p>
    <w:p w:rsidR="00B41FD4" w:rsidRPr="002C39EE" w:rsidRDefault="00B41FD4" w:rsidP="00DE1861">
      <w:pPr>
        <w:spacing w:after="0" w:line="360" w:lineRule="auto"/>
        <w:contextualSpacing/>
        <w:jc w:val="right"/>
        <w:rPr>
          <w:rFonts w:ascii="Times New Roman" w:hAnsi="Times New Roman"/>
          <w:sz w:val="28"/>
          <w:szCs w:val="28"/>
          <w:lang w:val="uk-UA"/>
        </w:rPr>
      </w:pPr>
    </w:p>
    <w:p w:rsidR="00B41FD4" w:rsidRPr="002C39EE" w:rsidRDefault="00B41FD4" w:rsidP="00F47753">
      <w:pPr>
        <w:spacing w:after="0" w:line="360" w:lineRule="auto"/>
        <w:contextualSpacing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ОБЛІК ВИТРАТ ТА ФОРМУВАННЯ СОБІВАРТОСТІ НА АВТОТРАНСПОРТНИХ </w:t>
      </w:r>
      <w:r w:rsidRPr="002C39EE">
        <w:rPr>
          <w:rFonts w:ascii="Times New Roman" w:hAnsi="Times New Roman"/>
          <w:b/>
          <w:sz w:val="28"/>
          <w:szCs w:val="28"/>
          <w:lang w:val="uk-UA"/>
        </w:rPr>
        <w:t>ПІДПРИЄМСТВАХ УКРАЇНИ</w:t>
      </w:r>
    </w:p>
    <w:p w:rsidR="00B41FD4" w:rsidRPr="002C39EE" w:rsidRDefault="00B41FD4" w:rsidP="00F47753">
      <w:pPr>
        <w:spacing w:after="0" w:line="360" w:lineRule="auto"/>
        <w:contextualSpacing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B41FD4" w:rsidRPr="002C39EE" w:rsidRDefault="00B41FD4" w:rsidP="005A246D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2C39EE">
        <w:rPr>
          <w:rFonts w:ascii="Times New Roman" w:hAnsi="Times New Roman"/>
          <w:b/>
          <w:sz w:val="28"/>
          <w:szCs w:val="28"/>
          <w:lang w:val="uk-UA"/>
        </w:rPr>
        <w:t>Постановка проблеми.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2C39EE">
        <w:rPr>
          <w:rFonts w:ascii="Times New Roman" w:hAnsi="Times New Roman"/>
          <w:sz w:val="28"/>
          <w:szCs w:val="28"/>
          <w:lang w:val="uk-UA"/>
        </w:rPr>
        <w:t>Однією із ключових ланок економіки України є автотранспортна промисловість, раціональне функціонування якої неможливе без забезпечення автотранспортних підприємств оперативним бухгалтерським та управлінським обліком.</w:t>
      </w:r>
      <w:r>
        <w:rPr>
          <w:rFonts w:ascii="Times New Roman" w:hAnsi="Times New Roman"/>
          <w:sz w:val="28"/>
          <w:szCs w:val="28"/>
          <w:lang w:val="uk-UA"/>
        </w:rPr>
        <w:t xml:space="preserve"> На сьогодні основна увага на автотранспортних підприємствах повинна бути зосереджена на оптимальній організації бухгалтерського та фінансового обліку витрат та формування собівартості, адже саме це є першою ланкою найбільш ефективного функціонування підприємства. </w:t>
      </w:r>
    </w:p>
    <w:p w:rsidR="00B41FD4" w:rsidRPr="002C39EE" w:rsidRDefault="00B41FD4" w:rsidP="00DE1861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2C39EE">
        <w:rPr>
          <w:rFonts w:ascii="Times New Roman" w:hAnsi="Times New Roman"/>
          <w:b/>
          <w:sz w:val="28"/>
          <w:szCs w:val="28"/>
          <w:lang w:val="uk-UA"/>
        </w:rPr>
        <w:t xml:space="preserve">Аналіз останніх досліджень і публікацій. </w:t>
      </w:r>
      <w:r w:rsidRPr="002C39EE">
        <w:rPr>
          <w:rFonts w:ascii="Times New Roman" w:hAnsi="Times New Roman"/>
          <w:sz w:val="28"/>
          <w:szCs w:val="28"/>
          <w:lang w:val="uk-UA"/>
        </w:rPr>
        <w:t>Розвитку методологічних, методичних та організаційних питань обліку й контролю на автотранспортних підприємствах сприяли праці вчених: М.Т. Білухи, І.А. Верховського, Н.В. Гаврилової, Я.А. Гончарука, В.В. Завгороднього, В.В. Заставнюка, А.Я. Коваленка, В.Ф. Палія, В.В. Сопка, А.Л. Степанюка, В.І. Терлової та інших. Вони видали серію праць з економіки й планування автомобільного транспорту, машинної обробки економічної інформації, бухгалтерського обліку, аналізу, ревізії</w:t>
      </w:r>
      <w:r>
        <w:rPr>
          <w:rFonts w:ascii="Times New Roman" w:hAnsi="Times New Roman"/>
          <w:sz w:val="28"/>
          <w:szCs w:val="28"/>
          <w:lang w:val="uk-UA"/>
        </w:rPr>
        <w:t>, контролю та аудиту фінансово-</w:t>
      </w:r>
      <w:r w:rsidRPr="002C39EE">
        <w:rPr>
          <w:rFonts w:ascii="Times New Roman" w:hAnsi="Times New Roman"/>
          <w:sz w:val="28"/>
          <w:szCs w:val="28"/>
          <w:lang w:val="uk-UA"/>
        </w:rPr>
        <w:t>господарської діяльності автотранспортних підприємств, які досі не втратили свого теоретичного й практичного значення.</w:t>
      </w:r>
    </w:p>
    <w:p w:rsidR="00B41FD4" w:rsidRPr="002C39EE" w:rsidRDefault="00B41FD4" w:rsidP="00F47753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2C39EE">
        <w:rPr>
          <w:rFonts w:ascii="Times New Roman" w:hAnsi="Times New Roman"/>
          <w:b/>
          <w:sz w:val="28"/>
          <w:szCs w:val="28"/>
          <w:lang w:val="uk-UA" w:eastAsia="ru-RU"/>
        </w:rPr>
        <w:t xml:space="preserve">Постановка завдання. </w:t>
      </w:r>
      <w:r w:rsidRPr="002C39EE">
        <w:rPr>
          <w:rFonts w:ascii="Times New Roman" w:hAnsi="Times New Roman"/>
          <w:sz w:val="28"/>
          <w:szCs w:val="28"/>
          <w:lang w:val="uk-UA" w:eastAsia="ru-RU"/>
        </w:rPr>
        <w:t>Метою даної статті є дослідження змісту та структури обліку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витрат та формування собівартості</w:t>
      </w:r>
      <w:r w:rsidRPr="002C39EE">
        <w:rPr>
          <w:rFonts w:ascii="Times New Roman" w:hAnsi="Times New Roman"/>
          <w:sz w:val="28"/>
          <w:szCs w:val="28"/>
          <w:lang w:val="uk-UA" w:eastAsia="ru-RU"/>
        </w:rPr>
        <w:t xml:space="preserve"> на автотранспортних підприємствах України.</w:t>
      </w:r>
    </w:p>
    <w:p w:rsidR="00B41FD4" w:rsidRPr="002C39EE" w:rsidRDefault="00B41FD4" w:rsidP="00BD49B0">
      <w:pPr>
        <w:spacing w:after="0" w:line="360" w:lineRule="auto"/>
        <w:ind w:firstLine="708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2C39EE">
        <w:rPr>
          <w:rFonts w:ascii="Times New Roman" w:hAnsi="Times New Roman"/>
          <w:b/>
          <w:sz w:val="28"/>
          <w:szCs w:val="28"/>
          <w:lang w:val="uk-UA"/>
        </w:rPr>
        <w:t>Виклад основного матеріалу дослідження.</w:t>
      </w:r>
      <w:r w:rsidRPr="002C39EE">
        <w:rPr>
          <w:rFonts w:ascii="Times New Roman" w:hAnsi="Times New Roman"/>
          <w:sz w:val="28"/>
          <w:szCs w:val="28"/>
        </w:rPr>
        <w:t>Нормативно-правоверегулюванняоблікудіяльностіавтотранспортнихпідприємствпередбачено в багатьох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C39EE">
        <w:rPr>
          <w:rFonts w:ascii="Times New Roman" w:hAnsi="Times New Roman"/>
          <w:sz w:val="28"/>
          <w:szCs w:val="28"/>
        </w:rPr>
        <w:t>законодавчих і нормативних актах. Так, гарантом здійснення будь-якої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C39EE">
        <w:rPr>
          <w:rFonts w:ascii="Times New Roman" w:hAnsi="Times New Roman"/>
          <w:sz w:val="28"/>
          <w:szCs w:val="28"/>
        </w:rPr>
        <w:t>підприємницької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C39EE">
        <w:rPr>
          <w:rFonts w:ascii="Times New Roman" w:hAnsi="Times New Roman"/>
          <w:sz w:val="28"/>
          <w:szCs w:val="28"/>
        </w:rPr>
        <w:t>діяльності, що не вступає у протиріччя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C39EE">
        <w:rPr>
          <w:rFonts w:ascii="Times New Roman" w:hAnsi="Times New Roman"/>
          <w:sz w:val="28"/>
          <w:szCs w:val="28"/>
        </w:rPr>
        <w:t>із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C39EE">
        <w:rPr>
          <w:rFonts w:ascii="Times New Roman" w:hAnsi="Times New Roman"/>
          <w:sz w:val="28"/>
          <w:szCs w:val="28"/>
        </w:rPr>
        <w:t>законодавством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C39EE">
        <w:rPr>
          <w:rFonts w:ascii="Times New Roman" w:hAnsi="Times New Roman"/>
          <w:sz w:val="28"/>
          <w:szCs w:val="28"/>
        </w:rPr>
        <w:t>України є її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C39EE">
        <w:rPr>
          <w:rFonts w:ascii="Times New Roman" w:hAnsi="Times New Roman"/>
          <w:sz w:val="28"/>
          <w:szCs w:val="28"/>
        </w:rPr>
        <w:t xml:space="preserve">Конституція [1], Господарський кодекс Українивід 16 січня 2003 р. № 436-ІУ [2], Цивільний Кодекс України 16.01.2003 г. № 435-IV [3]. </w:t>
      </w:r>
    </w:p>
    <w:p w:rsidR="00B41FD4" w:rsidRPr="002C39EE" w:rsidRDefault="00B41FD4" w:rsidP="00A256A8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2C39EE">
        <w:rPr>
          <w:rFonts w:ascii="Times New Roman" w:hAnsi="Times New Roman"/>
          <w:sz w:val="28"/>
          <w:szCs w:val="28"/>
        </w:rPr>
        <w:t>На законодавчому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C39EE">
        <w:rPr>
          <w:rFonts w:ascii="Times New Roman" w:hAnsi="Times New Roman"/>
          <w:sz w:val="28"/>
          <w:szCs w:val="28"/>
        </w:rPr>
        <w:t>рівні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C39EE">
        <w:rPr>
          <w:rFonts w:ascii="Times New Roman" w:hAnsi="Times New Roman"/>
          <w:sz w:val="28"/>
          <w:szCs w:val="28"/>
        </w:rPr>
        <w:t>автотранспортна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C39EE">
        <w:rPr>
          <w:rFonts w:ascii="Times New Roman" w:hAnsi="Times New Roman"/>
          <w:sz w:val="28"/>
          <w:szCs w:val="28"/>
        </w:rPr>
        <w:t>діяльність, як різновид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C39EE">
        <w:rPr>
          <w:rFonts w:ascii="Times New Roman" w:hAnsi="Times New Roman"/>
          <w:sz w:val="28"/>
          <w:szCs w:val="28"/>
        </w:rPr>
        <w:t>передбачена та регулюється Законом України «Про автомобільний транспорт», прийнятим Верховною Радою Українивід 5 квітня 2001 р., № 2344-Ш (зізмінами і доповненнями) в редакції Закону Українивід 23.02.06 р. № 3492-ІУ [</w:t>
      </w:r>
      <w:r w:rsidRPr="002C39EE">
        <w:rPr>
          <w:rFonts w:ascii="Times New Roman" w:hAnsi="Times New Roman"/>
          <w:sz w:val="28"/>
          <w:szCs w:val="28"/>
          <w:lang w:val="uk-UA"/>
        </w:rPr>
        <w:t>4</w:t>
      </w:r>
      <w:r w:rsidRPr="002C39EE">
        <w:rPr>
          <w:rFonts w:ascii="Times New Roman" w:hAnsi="Times New Roman"/>
          <w:sz w:val="28"/>
          <w:szCs w:val="28"/>
        </w:rPr>
        <w:t>], а також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C39EE">
        <w:rPr>
          <w:rFonts w:ascii="Times New Roman" w:hAnsi="Times New Roman"/>
          <w:sz w:val="28"/>
          <w:szCs w:val="28"/>
        </w:rPr>
        <w:t>інші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C39EE">
        <w:rPr>
          <w:rFonts w:ascii="Times New Roman" w:hAnsi="Times New Roman"/>
          <w:sz w:val="28"/>
          <w:szCs w:val="28"/>
        </w:rPr>
        <w:t>закони, постанови Кабінету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C39EE">
        <w:rPr>
          <w:rFonts w:ascii="Times New Roman" w:hAnsi="Times New Roman"/>
          <w:sz w:val="28"/>
          <w:szCs w:val="28"/>
        </w:rPr>
        <w:t>Міністрів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C39EE">
        <w:rPr>
          <w:rFonts w:ascii="Times New Roman" w:hAnsi="Times New Roman"/>
          <w:sz w:val="28"/>
          <w:szCs w:val="28"/>
        </w:rPr>
        <w:t>України, документи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C39EE">
        <w:rPr>
          <w:rFonts w:ascii="Times New Roman" w:hAnsi="Times New Roman"/>
          <w:sz w:val="28"/>
          <w:szCs w:val="28"/>
        </w:rPr>
        <w:t>міністерств і відомств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C39EE">
        <w:rPr>
          <w:rFonts w:ascii="Times New Roman" w:hAnsi="Times New Roman"/>
          <w:sz w:val="28"/>
          <w:szCs w:val="28"/>
        </w:rPr>
        <w:t>України</w:t>
      </w:r>
      <w:r w:rsidRPr="002C39EE"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:rsidR="00B41FD4" w:rsidRPr="002C39EE" w:rsidRDefault="00B41FD4" w:rsidP="00A256A8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2C39EE">
        <w:rPr>
          <w:rFonts w:ascii="Times New Roman" w:hAnsi="Times New Roman"/>
          <w:sz w:val="28"/>
          <w:szCs w:val="28"/>
          <w:lang w:val="uk-UA"/>
        </w:rPr>
        <w:t xml:space="preserve">Виробничі процеси автотранспортних підприємств (АТП) значно відрізняються від будь-яких інших підприємств. </w:t>
      </w:r>
      <w:r w:rsidRPr="002C39EE">
        <w:rPr>
          <w:rFonts w:ascii="Times New Roman" w:hAnsi="Times New Roman"/>
          <w:sz w:val="28"/>
          <w:szCs w:val="28"/>
        </w:rPr>
        <w:t>Діяльність AT не пов'язана з сировиною. Предметом його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C39EE">
        <w:rPr>
          <w:rFonts w:ascii="Times New Roman" w:hAnsi="Times New Roman"/>
          <w:sz w:val="28"/>
          <w:szCs w:val="28"/>
        </w:rPr>
        <w:t>праці є вантаж.</w:t>
      </w:r>
      <w:r w:rsidRPr="002C39EE">
        <w:rPr>
          <w:rFonts w:ascii="Times New Roman" w:hAnsi="Times New Roman"/>
          <w:sz w:val="28"/>
          <w:szCs w:val="28"/>
          <w:lang w:val="uk-UA"/>
        </w:rPr>
        <w:t>Виходячи з предмету АТП, можна назвати основні його функції. До них відносять:</w:t>
      </w:r>
    </w:p>
    <w:p w:rsidR="00B41FD4" w:rsidRPr="002C39EE" w:rsidRDefault="00B41FD4" w:rsidP="008E00D5">
      <w:pPr>
        <w:pStyle w:val="ListParagraph"/>
        <w:numPr>
          <w:ilvl w:val="0"/>
          <w:numId w:val="2"/>
        </w:numPr>
        <w:spacing w:after="0" w:line="360" w:lineRule="auto"/>
        <w:ind w:left="993" w:hanging="284"/>
        <w:jc w:val="both"/>
        <w:rPr>
          <w:rFonts w:ascii="Times New Roman" w:hAnsi="Times New Roman"/>
          <w:sz w:val="28"/>
          <w:szCs w:val="28"/>
          <w:lang w:val="uk-UA"/>
        </w:rPr>
      </w:pPr>
      <w:r w:rsidRPr="002C39EE">
        <w:rPr>
          <w:rFonts w:ascii="Times New Roman" w:hAnsi="Times New Roman"/>
          <w:sz w:val="28"/>
          <w:szCs w:val="28"/>
          <w:lang w:val="uk-UA"/>
        </w:rPr>
        <w:t>самостійне здійснення пасажирських і вантажних перевезень;</w:t>
      </w:r>
    </w:p>
    <w:p w:rsidR="00B41FD4" w:rsidRPr="002C39EE" w:rsidRDefault="00B41FD4" w:rsidP="0039436B">
      <w:pPr>
        <w:pStyle w:val="ListParagraph"/>
        <w:numPr>
          <w:ilvl w:val="0"/>
          <w:numId w:val="2"/>
        </w:numPr>
        <w:spacing w:after="0" w:line="360" w:lineRule="auto"/>
        <w:ind w:left="993" w:hanging="284"/>
        <w:jc w:val="both"/>
        <w:rPr>
          <w:rFonts w:ascii="Times New Roman" w:hAnsi="Times New Roman"/>
          <w:sz w:val="28"/>
          <w:szCs w:val="28"/>
          <w:lang w:val="uk-UA"/>
        </w:rPr>
      </w:pPr>
      <w:r w:rsidRPr="002C39EE">
        <w:rPr>
          <w:rFonts w:ascii="Times New Roman" w:hAnsi="Times New Roman"/>
          <w:sz w:val="28"/>
          <w:szCs w:val="28"/>
          <w:lang w:val="uk-UA"/>
        </w:rPr>
        <w:t>сприяння роботі залізничного транспорту з вивезення вантажів зі станції;</w:t>
      </w:r>
    </w:p>
    <w:p w:rsidR="00B41FD4" w:rsidRPr="002C39EE" w:rsidRDefault="00B41FD4" w:rsidP="008E00D5">
      <w:pPr>
        <w:pStyle w:val="ListParagraph"/>
        <w:numPr>
          <w:ilvl w:val="0"/>
          <w:numId w:val="2"/>
        </w:numPr>
        <w:spacing w:after="0" w:line="360" w:lineRule="auto"/>
        <w:ind w:left="993" w:hanging="284"/>
        <w:jc w:val="both"/>
        <w:rPr>
          <w:rFonts w:ascii="Times New Roman" w:hAnsi="Times New Roman"/>
          <w:sz w:val="28"/>
          <w:szCs w:val="28"/>
          <w:lang w:val="uk-UA"/>
        </w:rPr>
      </w:pPr>
      <w:r w:rsidRPr="002C39EE">
        <w:rPr>
          <w:rFonts w:ascii="Times New Roman" w:hAnsi="Times New Roman"/>
          <w:sz w:val="28"/>
          <w:szCs w:val="28"/>
          <w:lang w:val="uk-UA"/>
        </w:rPr>
        <w:t>заміна у містах і приміських зонах іншого виду транспорту (рейкового, гужового).</w:t>
      </w:r>
    </w:p>
    <w:p w:rsidR="00B41FD4" w:rsidRPr="002C39EE" w:rsidRDefault="00B41FD4" w:rsidP="00324A1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2C39EE">
        <w:rPr>
          <w:rFonts w:ascii="Times New Roman" w:hAnsi="Times New Roman"/>
          <w:sz w:val="28"/>
          <w:szCs w:val="28"/>
          <w:lang w:val="uk-UA"/>
        </w:rPr>
        <w:t>Як будь-яке підприємство, автотранспортне підприємство здійснює свою діяльність, яка визначається наступними господарськими операціями</w:t>
      </w:r>
      <w:r w:rsidRPr="002C39EE">
        <w:rPr>
          <w:rFonts w:ascii="Times New Roman" w:hAnsi="Times New Roman"/>
          <w:sz w:val="28"/>
          <w:szCs w:val="28"/>
        </w:rPr>
        <w:t xml:space="preserve">[5, </w:t>
      </w:r>
      <w:r w:rsidRPr="002C39EE">
        <w:rPr>
          <w:rFonts w:ascii="Times New Roman" w:hAnsi="Times New Roman"/>
          <w:sz w:val="28"/>
          <w:szCs w:val="28"/>
          <w:lang w:val="en-US"/>
        </w:rPr>
        <w:t>c</w:t>
      </w:r>
      <w:r w:rsidRPr="002C39EE">
        <w:rPr>
          <w:rFonts w:ascii="Times New Roman" w:hAnsi="Times New Roman"/>
          <w:sz w:val="28"/>
          <w:szCs w:val="28"/>
        </w:rPr>
        <w:t>.135]</w:t>
      </w:r>
      <w:r w:rsidRPr="002C39EE">
        <w:rPr>
          <w:rFonts w:ascii="Times New Roman" w:hAnsi="Times New Roman"/>
          <w:sz w:val="28"/>
          <w:szCs w:val="28"/>
          <w:lang w:val="uk-UA"/>
        </w:rPr>
        <w:t>:</w:t>
      </w:r>
    </w:p>
    <w:p w:rsidR="00B41FD4" w:rsidRPr="002C39EE" w:rsidRDefault="00B41FD4" w:rsidP="0039436B">
      <w:pPr>
        <w:pStyle w:val="ListParagraph"/>
        <w:numPr>
          <w:ilvl w:val="0"/>
          <w:numId w:val="3"/>
        </w:numPr>
        <w:spacing w:after="0" w:line="360" w:lineRule="auto"/>
        <w:ind w:left="993" w:hanging="284"/>
        <w:jc w:val="both"/>
        <w:rPr>
          <w:rFonts w:ascii="Times New Roman" w:hAnsi="Times New Roman"/>
          <w:sz w:val="28"/>
          <w:szCs w:val="28"/>
          <w:lang w:val="uk-UA"/>
        </w:rPr>
      </w:pPr>
      <w:r w:rsidRPr="002C39EE">
        <w:rPr>
          <w:rFonts w:ascii="Times New Roman" w:hAnsi="Times New Roman"/>
          <w:sz w:val="28"/>
          <w:szCs w:val="28"/>
          <w:lang w:val="uk-UA"/>
        </w:rPr>
        <w:t>експлуатаційні перевезення пасажирів і вантажів;</w:t>
      </w:r>
    </w:p>
    <w:p w:rsidR="00B41FD4" w:rsidRPr="002C39EE" w:rsidRDefault="00B41FD4" w:rsidP="0039436B">
      <w:pPr>
        <w:pStyle w:val="ListParagraph"/>
        <w:numPr>
          <w:ilvl w:val="0"/>
          <w:numId w:val="3"/>
        </w:numPr>
        <w:spacing w:after="0" w:line="360" w:lineRule="auto"/>
        <w:ind w:left="993" w:hanging="284"/>
        <w:jc w:val="both"/>
        <w:rPr>
          <w:rFonts w:ascii="Times New Roman" w:hAnsi="Times New Roman"/>
          <w:sz w:val="28"/>
          <w:szCs w:val="28"/>
          <w:lang w:val="uk-UA"/>
        </w:rPr>
      </w:pPr>
      <w:r w:rsidRPr="002C39EE">
        <w:rPr>
          <w:rFonts w:ascii="Times New Roman" w:hAnsi="Times New Roman"/>
          <w:sz w:val="28"/>
          <w:szCs w:val="28"/>
          <w:lang w:val="uk-UA"/>
        </w:rPr>
        <w:t>гаражне обслуговування і зберігання рухомого складу, технічне обслуговування і ремонт автомобілів, причепів та їх агрегатів;</w:t>
      </w:r>
    </w:p>
    <w:p w:rsidR="00B41FD4" w:rsidRPr="002C39EE" w:rsidRDefault="00B41FD4" w:rsidP="0039436B">
      <w:pPr>
        <w:pStyle w:val="ListParagraph"/>
        <w:numPr>
          <w:ilvl w:val="0"/>
          <w:numId w:val="3"/>
        </w:numPr>
        <w:spacing w:after="0" w:line="360" w:lineRule="auto"/>
        <w:ind w:left="993" w:hanging="284"/>
        <w:jc w:val="both"/>
        <w:rPr>
          <w:rFonts w:ascii="Times New Roman" w:hAnsi="Times New Roman"/>
          <w:sz w:val="28"/>
          <w:szCs w:val="28"/>
          <w:lang w:val="uk-UA"/>
        </w:rPr>
      </w:pPr>
      <w:r w:rsidRPr="002C39EE">
        <w:rPr>
          <w:rFonts w:ascii="Times New Roman" w:hAnsi="Times New Roman"/>
          <w:sz w:val="28"/>
          <w:szCs w:val="28"/>
          <w:lang w:val="uk-UA"/>
        </w:rPr>
        <w:t>транспортно-експедиційне обслуговування;</w:t>
      </w:r>
    </w:p>
    <w:p w:rsidR="00B41FD4" w:rsidRPr="002C39EE" w:rsidRDefault="00B41FD4" w:rsidP="0039436B">
      <w:pPr>
        <w:pStyle w:val="ListParagraph"/>
        <w:numPr>
          <w:ilvl w:val="0"/>
          <w:numId w:val="3"/>
        </w:numPr>
        <w:spacing w:after="0" w:line="360" w:lineRule="auto"/>
        <w:ind w:left="993" w:hanging="284"/>
        <w:jc w:val="both"/>
        <w:rPr>
          <w:rFonts w:ascii="Times New Roman" w:hAnsi="Times New Roman"/>
          <w:sz w:val="28"/>
          <w:szCs w:val="28"/>
          <w:lang w:val="uk-UA"/>
        </w:rPr>
      </w:pPr>
      <w:r w:rsidRPr="002C39EE">
        <w:rPr>
          <w:rFonts w:ascii="Times New Roman" w:hAnsi="Times New Roman"/>
          <w:sz w:val="28"/>
          <w:szCs w:val="28"/>
          <w:lang w:val="uk-UA"/>
        </w:rPr>
        <w:t>навантаження порожніх автомобілів;</w:t>
      </w:r>
    </w:p>
    <w:p w:rsidR="00B41FD4" w:rsidRPr="002C39EE" w:rsidRDefault="00B41FD4" w:rsidP="0039436B">
      <w:pPr>
        <w:pStyle w:val="ListParagraph"/>
        <w:numPr>
          <w:ilvl w:val="0"/>
          <w:numId w:val="3"/>
        </w:numPr>
        <w:spacing w:after="0" w:line="360" w:lineRule="auto"/>
        <w:ind w:left="993" w:hanging="284"/>
        <w:jc w:val="both"/>
        <w:rPr>
          <w:rFonts w:ascii="Times New Roman" w:hAnsi="Times New Roman"/>
          <w:sz w:val="28"/>
          <w:szCs w:val="28"/>
          <w:lang w:val="uk-UA"/>
        </w:rPr>
      </w:pPr>
      <w:r w:rsidRPr="002C39EE">
        <w:rPr>
          <w:rFonts w:ascii="Times New Roman" w:hAnsi="Times New Roman"/>
          <w:sz w:val="28"/>
          <w:szCs w:val="28"/>
          <w:lang w:val="uk-UA"/>
        </w:rPr>
        <w:t>перегін нових автомобілів із заводів;</w:t>
      </w:r>
    </w:p>
    <w:p w:rsidR="00B41FD4" w:rsidRPr="002C39EE" w:rsidRDefault="00B41FD4" w:rsidP="0039436B">
      <w:pPr>
        <w:pStyle w:val="ListParagraph"/>
        <w:numPr>
          <w:ilvl w:val="0"/>
          <w:numId w:val="3"/>
        </w:numPr>
        <w:spacing w:after="0" w:line="360" w:lineRule="auto"/>
        <w:ind w:left="993" w:hanging="284"/>
        <w:jc w:val="both"/>
        <w:rPr>
          <w:rFonts w:ascii="Times New Roman" w:hAnsi="Times New Roman"/>
          <w:sz w:val="28"/>
          <w:szCs w:val="28"/>
          <w:lang w:val="uk-UA"/>
        </w:rPr>
      </w:pPr>
      <w:r w:rsidRPr="002C39EE">
        <w:rPr>
          <w:rFonts w:ascii="Times New Roman" w:hAnsi="Times New Roman"/>
          <w:sz w:val="28"/>
          <w:szCs w:val="28"/>
          <w:lang w:val="uk-UA"/>
        </w:rPr>
        <w:t>утримання та експлуатація транспортних агрегатів станцій технічного обслуговування вантажних автостанцій.</w:t>
      </w:r>
    </w:p>
    <w:p w:rsidR="00B41FD4" w:rsidRPr="002C39EE" w:rsidRDefault="00B41FD4" w:rsidP="0046192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46192B">
        <w:rPr>
          <w:rFonts w:ascii="Times New Roman" w:hAnsi="Times New Roman"/>
          <w:sz w:val="28"/>
          <w:szCs w:val="28"/>
        </w:rPr>
        <w:t>Порядок відображення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6192B">
        <w:rPr>
          <w:rFonts w:ascii="Times New Roman" w:hAnsi="Times New Roman"/>
          <w:sz w:val="28"/>
          <w:szCs w:val="28"/>
        </w:rPr>
        <w:t>витрат у бухгалтерському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6192B">
        <w:rPr>
          <w:rFonts w:ascii="Times New Roman" w:hAnsi="Times New Roman"/>
          <w:sz w:val="28"/>
          <w:szCs w:val="28"/>
        </w:rPr>
        <w:t>обліку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6192B">
        <w:rPr>
          <w:rFonts w:ascii="Times New Roman" w:hAnsi="Times New Roman"/>
          <w:sz w:val="28"/>
          <w:szCs w:val="28"/>
        </w:rPr>
        <w:t>регламентується П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6192B">
        <w:rPr>
          <w:rFonts w:ascii="Times New Roman" w:hAnsi="Times New Roman"/>
          <w:sz w:val="28"/>
          <w:szCs w:val="28"/>
        </w:rPr>
        <w:t>(</w:t>
      </w:r>
      <w:r w:rsidRPr="0046192B">
        <w:rPr>
          <w:rFonts w:ascii="Times New Roman" w:hAnsi="Times New Roman"/>
          <w:sz w:val="28"/>
          <w:szCs w:val="28"/>
          <w:lang w:val="uk-UA"/>
        </w:rPr>
        <w:t>С</w:t>
      </w:r>
      <w:r w:rsidRPr="0046192B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6192B">
        <w:rPr>
          <w:rFonts w:ascii="Times New Roman" w:hAnsi="Times New Roman"/>
          <w:sz w:val="28"/>
          <w:szCs w:val="28"/>
        </w:rPr>
        <w:t xml:space="preserve">БО 16 </w:t>
      </w:r>
      <w:r w:rsidRPr="0046192B">
        <w:rPr>
          <w:rFonts w:ascii="Times New Roman" w:hAnsi="Times New Roman"/>
          <w:sz w:val="28"/>
          <w:szCs w:val="28"/>
          <w:lang w:val="uk-UA"/>
        </w:rPr>
        <w:t>«</w:t>
      </w:r>
      <w:r w:rsidRPr="0046192B">
        <w:rPr>
          <w:rFonts w:ascii="Times New Roman" w:hAnsi="Times New Roman"/>
          <w:sz w:val="28"/>
          <w:szCs w:val="28"/>
        </w:rPr>
        <w:t>Витрати</w:t>
      </w:r>
      <w:r w:rsidRPr="0046192B">
        <w:rPr>
          <w:rFonts w:ascii="Times New Roman" w:hAnsi="Times New Roman"/>
          <w:sz w:val="28"/>
          <w:szCs w:val="28"/>
          <w:lang w:val="uk-UA"/>
        </w:rPr>
        <w:t>».</w:t>
      </w:r>
      <w:r w:rsidRPr="002C39EE">
        <w:rPr>
          <w:rFonts w:ascii="Times New Roman" w:hAnsi="Times New Roman"/>
          <w:sz w:val="28"/>
          <w:szCs w:val="28"/>
          <w:lang w:val="uk-UA"/>
        </w:rPr>
        <w:t>Основними складовими елементами транспортного процесу є послідовність виконання таких етапів:</w:t>
      </w:r>
    </w:p>
    <w:p w:rsidR="00B41FD4" w:rsidRPr="002C39EE" w:rsidRDefault="00B41FD4" w:rsidP="0039436B">
      <w:pPr>
        <w:pStyle w:val="ListParagraph"/>
        <w:numPr>
          <w:ilvl w:val="0"/>
          <w:numId w:val="10"/>
        </w:numPr>
        <w:spacing w:after="0" w:line="360" w:lineRule="auto"/>
        <w:ind w:left="993" w:hanging="284"/>
        <w:jc w:val="both"/>
        <w:rPr>
          <w:rFonts w:ascii="Times New Roman" w:hAnsi="Times New Roman"/>
          <w:sz w:val="28"/>
          <w:szCs w:val="28"/>
          <w:lang w:val="uk-UA"/>
        </w:rPr>
      </w:pPr>
      <w:r w:rsidRPr="002C39EE">
        <w:rPr>
          <w:rFonts w:ascii="Times New Roman" w:hAnsi="Times New Roman"/>
          <w:sz w:val="28"/>
          <w:szCs w:val="28"/>
          <w:lang w:val="uk-UA"/>
        </w:rPr>
        <w:t>навантаження вантажів, пасажирів в місцях відправлення;</w:t>
      </w:r>
    </w:p>
    <w:p w:rsidR="00B41FD4" w:rsidRPr="002C39EE" w:rsidRDefault="00B41FD4" w:rsidP="0039436B">
      <w:pPr>
        <w:pStyle w:val="ListParagraph"/>
        <w:numPr>
          <w:ilvl w:val="0"/>
          <w:numId w:val="10"/>
        </w:numPr>
        <w:spacing w:after="0" w:line="360" w:lineRule="auto"/>
        <w:ind w:left="993" w:hanging="284"/>
        <w:jc w:val="both"/>
        <w:rPr>
          <w:rFonts w:ascii="Times New Roman" w:hAnsi="Times New Roman"/>
          <w:sz w:val="28"/>
          <w:szCs w:val="28"/>
          <w:lang w:val="uk-UA"/>
        </w:rPr>
      </w:pPr>
      <w:r w:rsidRPr="002C39EE">
        <w:rPr>
          <w:rFonts w:ascii="Times New Roman" w:hAnsi="Times New Roman"/>
          <w:sz w:val="28"/>
          <w:szCs w:val="28"/>
          <w:lang w:val="uk-UA"/>
        </w:rPr>
        <w:t>перевезення згідно визначених маршрутів та рейсів;</w:t>
      </w:r>
    </w:p>
    <w:p w:rsidR="00B41FD4" w:rsidRPr="002C39EE" w:rsidRDefault="00B41FD4" w:rsidP="0039436B">
      <w:pPr>
        <w:pStyle w:val="ListParagraph"/>
        <w:numPr>
          <w:ilvl w:val="0"/>
          <w:numId w:val="10"/>
        </w:numPr>
        <w:spacing w:after="0" w:line="360" w:lineRule="auto"/>
        <w:ind w:left="993" w:hanging="284"/>
        <w:jc w:val="both"/>
        <w:rPr>
          <w:rFonts w:ascii="Times New Roman" w:hAnsi="Times New Roman"/>
          <w:sz w:val="28"/>
          <w:szCs w:val="28"/>
          <w:lang w:val="uk-UA"/>
        </w:rPr>
      </w:pPr>
      <w:r w:rsidRPr="002C39EE">
        <w:rPr>
          <w:rFonts w:ascii="Times New Roman" w:hAnsi="Times New Roman"/>
          <w:sz w:val="28"/>
          <w:szCs w:val="28"/>
          <w:lang w:val="uk-UA"/>
        </w:rPr>
        <w:t>розвантаження багажу та висадка пасажирів в пункті призначення.</w:t>
      </w:r>
    </w:p>
    <w:p w:rsidR="00B41FD4" w:rsidRPr="002C39EE" w:rsidRDefault="00B41FD4" w:rsidP="00A256A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2C39EE">
        <w:rPr>
          <w:rFonts w:ascii="Times New Roman" w:hAnsi="Times New Roman"/>
          <w:sz w:val="28"/>
          <w:szCs w:val="28"/>
          <w:lang w:val="uk-UA"/>
        </w:rPr>
        <w:t>Для обліку на АТП необхідно врахувати наступні особливості</w:t>
      </w:r>
      <w:r w:rsidRPr="002C39EE">
        <w:rPr>
          <w:rFonts w:ascii="Times New Roman" w:hAnsi="Times New Roman"/>
          <w:sz w:val="28"/>
          <w:szCs w:val="28"/>
        </w:rPr>
        <w:t xml:space="preserve"> [6, </w:t>
      </w:r>
      <w:r w:rsidRPr="002C39EE">
        <w:rPr>
          <w:rFonts w:ascii="Times New Roman" w:hAnsi="Times New Roman"/>
          <w:sz w:val="28"/>
          <w:szCs w:val="28"/>
          <w:lang w:val="en-US"/>
        </w:rPr>
        <w:t>c</w:t>
      </w:r>
      <w:r w:rsidRPr="002C39EE">
        <w:rPr>
          <w:rFonts w:ascii="Times New Roman" w:hAnsi="Times New Roman"/>
          <w:sz w:val="28"/>
          <w:szCs w:val="28"/>
        </w:rPr>
        <w:t>. 98]</w:t>
      </w:r>
      <w:r w:rsidRPr="002C39EE">
        <w:rPr>
          <w:rFonts w:ascii="Times New Roman" w:hAnsi="Times New Roman"/>
          <w:sz w:val="28"/>
          <w:szCs w:val="28"/>
          <w:lang w:val="uk-UA"/>
        </w:rPr>
        <w:t>:</w:t>
      </w:r>
    </w:p>
    <w:p w:rsidR="00B41FD4" w:rsidRPr="002C39EE" w:rsidRDefault="00B41FD4" w:rsidP="0039436B">
      <w:pPr>
        <w:pStyle w:val="ListParagraph"/>
        <w:numPr>
          <w:ilvl w:val="0"/>
          <w:numId w:val="4"/>
        </w:numPr>
        <w:spacing w:after="0" w:line="360" w:lineRule="auto"/>
        <w:ind w:left="993" w:hanging="284"/>
        <w:jc w:val="both"/>
        <w:rPr>
          <w:rFonts w:ascii="Times New Roman" w:hAnsi="Times New Roman"/>
          <w:sz w:val="28"/>
          <w:szCs w:val="28"/>
          <w:lang w:val="uk-UA"/>
        </w:rPr>
      </w:pPr>
      <w:r w:rsidRPr="002C39EE">
        <w:rPr>
          <w:rFonts w:ascii="Times New Roman" w:hAnsi="Times New Roman"/>
          <w:sz w:val="28"/>
          <w:szCs w:val="28"/>
          <w:lang w:val="uk-UA"/>
        </w:rPr>
        <w:t>на АТП мають місце наступні процеси</w:t>
      </w:r>
      <w:r>
        <w:rPr>
          <w:rFonts w:ascii="Times New Roman" w:hAnsi="Times New Roman"/>
          <w:sz w:val="28"/>
          <w:szCs w:val="28"/>
          <w:lang w:val="uk-UA"/>
        </w:rPr>
        <w:t>, кожен з яких включає у себе ключові моменти обліку витрат, що в свою чергу визначають собівартість</w:t>
      </w:r>
      <w:r w:rsidRPr="002C39EE">
        <w:rPr>
          <w:rFonts w:ascii="Times New Roman" w:hAnsi="Times New Roman"/>
          <w:sz w:val="28"/>
          <w:szCs w:val="28"/>
          <w:lang w:val="uk-UA"/>
        </w:rPr>
        <w:t>:</w:t>
      </w:r>
    </w:p>
    <w:p w:rsidR="00B41FD4" w:rsidRPr="002C39EE" w:rsidRDefault="00B41FD4" w:rsidP="0039436B">
      <w:pPr>
        <w:pStyle w:val="ListParagraph"/>
        <w:numPr>
          <w:ilvl w:val="1"/>
          <w:numId w:val="4"/>
        </w:numPr>
        <w:spacing w:after="0" w:line="360" w:lineRule="auto"/>
        <w:ind w:left="993" w:firstLine="141"/>
        <w:jc w:val="both"/>
        <w:rPr>
          <w:rFonts w:ascii="Times New Roman" w:hAnsi="Times New Roman"/>
          <w:sz w:val="28"/>
          <w:szCs w:val="28"/>
          <w:lang w:val="uk-UA"/>
        </w:rPr>
      </w:pPr>
      <w:r w:rsidRPr="002C39EE">
        <w:rPr>
          <w:rFonts w:ascii="Times New Roman" w:hAnsi="Times New Roman"/>
          <w:sz w:val="28"/>
          <w:szCs w:val="28"/>
          <w:lang w:val="uk-UA"/>
        </w:rPr>
        <w:t>процес постачання – забезпечення необхідними транспортними засобами, паливо-мастильними матеріалами та іншими засобами і предметами праці;</w:t>
      </w:r>
    </w:p>
    <w:p w:rsidR="00B41FD4" w:rsidRPr="002C39EE" w:rsidRDefault="00B41FD4" w:rsidP="0039436B">
      <w:pPr>
        <w:pStyle w:val="ListParagraph"/>
        <w:numPr>
          <w:ilvl w:val="1"/>
          <w:numId w:val="4"/>
        </w:numPr>
        <w:spacing w:after="0" w:line="360" w:lineRule="auto"/>
        <w:ind w:left="0" w:firstLine="1134"/>
        <w:jc w:val="both"/>
        <w:rPr>
          <w:rFonts w:ascii="Times New Roman" w:hAnsi="Times New Roman"/>
          <w:sz w:val="28"/>
          <w:szCs w:val="28"/>
          <w:lang w:val="uk-UA"/>
        </w:rPr>
      </w:pPr>
      <w:r w:rsidRPr="002C39EE">
        <w:rPr>
          <w:rFonts w:ascii="Times New Roman" w:hAnsi="Times New Roman"/>
          <w:sz w:val="28"/>
          <w:szCs w:val="28"/>
          <w:lang w:val="uk-UA"/>
        </w:rPr>
        <w:t>процес виробництва – виготовлення послуги з перевезення пасажирів чи вантажів, яка складається з сукупності необхідних витрат;</w:t>
      </w:r>
    </w:p>
    <w:p w:rsidR="00B41FD4" w:rsidRPr="002C39EE" w:rsidRDefault="00B41FD4" w:rsidP="0039436B">
      <w:pPr>
        <w:pStyle w:val="ListParagraph"/>
        <w:numPr>
          <w:ilvl w:val="1"/>
          <w:numId w:val="4"/>
        </w:numPr>
        <w:spacing w:after="0" w:line="360" w:lineRule="auto"/>
        <w:ind w:left="0" w:firstLine="1134"/>
        <w:jc w:val="both"/>
        <w:rPr>
          <w:rFonts w:ascii="Times New Roman" w:hAnsi="Times New Roman"/>
          <w:sz w:val="28"/>
          <w:szCs w:val="28"/>
          <w:lang w:val="uk-UA"/>
        </w:rPr>
      </w:pPr>
      <w:r w:rsidRPr="002C39EE">
        <w:rPr>
          <w:rFonts w:ascii="Times New Roman" w:hAnsi="Times New Roman"/>
          <w:sz w:val="28"/>
          <w:szCs w:val="28"/>
          <w:lang w:val="uk-UA"/>
        </w:rPr>
        <w:t>процес реалізації – відображення доходу від реалізації послуги з перевезень, з технічного обслуговування тощо.</w:t>
      </w:r>
    </w:p>
    <w:p w:rsidR="00B41FD4" w:rsidRPr="002C39EE" w:rsidRDefault="00B41FD4" w:rsidP="0039436B">
      <w:pPr>
        <w:pStyle w:val="ListParagraph"/>
        <w:numPr>
          <w:ilvl w:val="0"/>
          <w:numId w:val="4"/>
        </w:numPr>
        <w:spacing w:after="0" w:line="360" w:lineRule="auto"/>
        <w:ind w:left="993" w:hanging="284"/>
        <w:jc w:val="both"/>
        <w:rPr>
          <w:rFonts w:ascii="Times New Roman" w:hAnsi="Times New Roman"/>
          <w:sz w:val="28"/>
          <w:szCs w:val="28"/>
          <w:lang w:val="uk-UA"/>
        </w:rPr>
      </w:pPr>
      <w:r w:rsidRPr="002C39EE">
        <w:rPr>
          <w:rFonts w:ascii="Times New Roman" w:hAnsi="Times New Roman"/>
          <w:sz w:val="28"/>
          <w:szCs w:val="28"/>
          <w:lang w:val="uk-UA"/>
        </w:rPr>
        <w:t>калькуляційною одиницею є собівартість окремих чи індивідуальних перевезень;</w:t>
      </w:r>
    </w:p>
    <w:p w:rsidR="00B41FD4" w:rsidRPr="002C39EE" w:rsidRDefault="00B41FD4" w:rsidP="0039436B">
      <w:pPr>
        <w:pStyle w:val="ListParagraph"/>
        <w:numPr>
          <w:ilvl w:val="0"/>
          <w:numId w:val="4"/>
        </w:numPr>
        <w:spacing w:after="0" w:line="360" w:lineRule="auto"/>
        <w:ind w:left="993" w:hanging="284"/>
        <w:jc w:val="both"/>
        <w:rPr>
          <w:rFonts w:ascii="Times New Roman" w:hAnsi="Times New Roman"/>
          <w:sz w:val="28"/>
          <w:szCs w:val="28"/>
          <w:lang w:val="uk-UA"/>
        </w:rPr>
      </w:pPr>
      <w:r w:rsidRPr="002C39EE">
        <w:rPr>
          <w:rFonts w:ascii="Times New Roman" w:hAnsi="Times New Roman"/>
          <w:sz w:val="28"/>
          <w:szCs w:val="28"/>
          <w:lang w:val="uk-UA"/>
        </w:rPr>
        <w:t>для нарахування амортизації рухомого складу в основному АТП використовують виробничий метод;</w:t>
      </w:r>
    </w:p>
    <w:p w:rsidR="00B41FD4" w:rsidRPr="002C39EE" w:rsidRDefault="00B41FD4" w:rsidP="0039436B">
      <w:pPr>
        <w:pStyle w:val="ListParagraph"/>
        <w:numPr>
          <w:ilvl w:val="0"/>
          <w:numId w:val="4"/>
        </w:numPr>
        <w:spacing w:after="0" w:line="360" w:lineRule="auto"/>
        <w:ind w:left="993" w:hanging="284"/>
        <w:jc w:val="both"/>
        <w:rPr>
          <w:rFonts w:ascii="Times New Roman" w:hAnsi="Times New Roman"/>
          <w:sz w:val="28"/>
          <w:szCs w:val="28"/>
          <w:lang w:val="uk-UA"/>
        </w:rPr>
      </w:pPr>
      <w:r w:rsidRPr="002C39EE">
        <w:rPr>
          <w:rFonts w:ascii="Times New Roman" w:hAnsi="Times New Roman"/>
          <w:sz w:val="28"/>
          <w:szCs w:val="28"/>
          <w:lang w:val="uk-UA"/>
        </w:rPr>
        <w:t>значну частину загальних витрат на АТП становлять витрати на придбання паливно-мастильних матеріалів, технічне обслуговування рухомих засобів (як обов’язкове, так і за вимогою);</w:t>
      </w:r>
    </w:p>
    <w:p w:rsidR="00B41FD4" w:rsidRDefault="00B41FD4" w:rsidP="0039436B">
      <w:pPr>
        <w:pStyle w:val="ListParagraph"/>
        <w:numPr>
          <w:ilvl w:val="0"/>
          <w:numId w:val="4"/>
        </w:numPr>
        <w:spacing w:after="0" w:line="360" w:lineRule="auto"/>
        <w:ind w:left="993" w:hanging="284"/>
        <w:jc w:val="both"/>
        <w:rPr>
          <w:rFonts w:ascii="Times New Roman" w:hAnsi="Times New Roman"/>
          <w:sz w:val="28"/>
          <w:szCs w:val="28"/>
          <w:lang w:val="uk-UA"/>
        </w:rPr>
      </w:pPr>
      <w:r w:rsidRPr="002C39EE">
        <w:rPr>
          <w:rFonts w:ascii="Times New Roman" w:hAnsi="Times New Roman"/>
          <w:sz w:val="28"/>
          <w:szCs w:val="28"/>
          <w:lang w:val="uk-UA"/>
        </w:rPr>
        <w:t>АТП є платниками податків і зборів, сплата яких визначена Податковим Кодексом України.</w:t>
      </w:r>
    </w:p>
    <w:p w:rsidR="00B41FD4" w:rsidRPr="00A762D9" w:rsidRDefault="00B41FD4" w:rsidP="00A762D9">
      <w:pPr>
        <w:spacing w:after="0" w:line="360" w:lineRule="auto"/>
        <w:ind w:firstLine="708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Облік паливно-мастильних матеріалів</w:t>
      </w:r>
      <w:r w:rsidRPr="00A762D9">
        <w:rPr>
          <w:rFonts w:ascii="Times New Roman" w:hAnsi="Times New Roman"/>
          <w:sz w:val="28"/>
          <w:szCs w:val="28"/>
          <w:lang w:val="uk-UA"/>
        </w:rPr>
        <w:t xml:space="preserve"> здійснюється за його видами, місцями зберігання, МВО</w:t>
      </w:r>
      <w:r>
        <w:rPr>
          <w:rFonts w:ascii="Times New Roman" w:hAnsi="Times New Roman"/>
          <w:sz w:val="28"/>
          <w:szCs w:val="28"/>
          <w:lang w:val="uk-UA"/>
        </w:rPr>
        <w:t>.</w:t>
      </w:r>
      <w:r w:rsidRPr="00A762D9">
        <w:rPr>
          <w:rFonts w:ascii="Times New Roman" w:hAnsi="Times New Roman"/>
          <w:sz w:val="28"/>
          <w:szCs w:val="28"/>
          <w:lang w:val="uk-UA"/>
        </w:rPr>
        <w:t xml:space="preserve"> Для обліку надходження і витрачання палива у кількісному і грошовому виразі у Плані ра</w:t>
      </w:r>
      <w:r>
        <w:rPr>
          <w:rFonts w:ascii="Times New Roman" w:hAnsi="Times New Roman"/>
          <w:sz w:val="28"/>
          <w:szCs w:val="28"/>
          <w:lang w:val="uk-UA"/>
        </w:rPr>
        <w:t>хунків передбачений рахунок 20 «Виробничі запаси», субрахунок 203 «Паливо»</w:t>
      </w:r>
      <w:r w:rsidRPr="00A762D9">
        <w:rPr>
          <w:rFonts w:ascii="Times New Roman" w:hAnsi="Times New Roman"/>
          <w:sz w:val="28"/>
          <w:szCs w:val="28"/>
          <w:lang w:val="uk-UA"/>
        </w:rPr>
        <w:t>.</w:t>
      </w:r>
    </w:p>
    <w:p w:rsidR="00B41FD4" w:rsidRPr="00A762D9" w:rsidRDefault="00B41FD4" w:rsidP="00A762D9">
      <w:pPr>
        <w:spacing w:after="0" w:line="360" w:lineRule="auto"/>
        <w:ind w:firstLine="708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A762D9">
        <w:rPr>
          <w:rFonts w:ascii="Times New Roman" w:hAnsi="Times New Roman"/>
          <w:sz w:val="28"/>
          <w:szCs w:val="28"/>
          <w:lang w:val="uk-UA"/>
        </w:rPr>
        <w:t>Наявність і рух різних видів палива: рідкого,</w:t>
      </w:r>
      <w:r>
        <w:rPr>
          <w:rFonts w:ascii="Times New Roman" w:hAnsi="Times New Roman"/>
          <w:sz w:val="28"/>
          <w:szCs w:val="28"/>
          <w:lang w:val="uk-UA"/>
        </w:rPr>
        <w:t xml:space="preserve"> твердого, газоподібного тощо ві</w:t>
      </w:r>
      <w:r w:rsidRPr="00A762D9">
        <w:rPr>
          <w:rFonts w:ascii="Times New Roman" w:hAnsi="Times New Roman"/>
          <w:sz w:val="28"/>
          <w:szCs w:val="28"/>
          <w:lang w:val="uk-UA"/>
        </w:rPr>
        <w:t>дображається на окремих субрах</w:t>
      </w:r>
      <w:r>
        <w:rPr>
          <w:rFonts w:ascii="Times New Roman" w:hAnsi="Times New Roman"/>
          <w:sz w:val="28"/>
          <w:szCs w:val="28"/>
          <w:lang w:val="uk-UA"/>
        </w:rPr>
        <w:t>унках, тобто до субрахунку 203 «Паливо» згідно з інструкцією про</w:t>
      </w:r>
      <w:r w:rsidRPr="00A762D9">
        <w:rPr>
          <w:rFonts w:ascii="Times New Roman" w:hAnsi="Times New Roman"/>
          <w:sz w:val="28"/>
          <w:szCs w:val="28"/>
          <w:lang w:val="uk-UA"/>
        </w:rPr>
        <w:t xml:space="preserve"> застосування Плану рахунків відкривають нові субрахунки 2 та 3 порядку, тому для п</w:t>
      </w:r>
      <w:r>
        <w:rPr>
          <w:rFonts w:ascii="Times New Roman" w:hAnsi="Times New Roman"/>
          <w:sz w:val="28"/>
          <w:szCs w:val="28"/>
          <w:lang w:val="uk-UA"/>
        </w:rPr>
        <w:t>равильної організації обліку паливно-мастильних матеріалів</w:t>
      </w:r>
      <w:r w:rsidRPr="00A762D9">
        <w:rPr>
          <w:rFonts w:ascii="Times New Roman" w:hAnsi="Times New Roman"/>
          <w:sz w:val="28"/>
          <w:szCs w:val="28"/>
          <w:lang w:val="uk-UA"/>
        </w:rPr>
        <w:t>, АТП використовують субрахунки 3 порядку, а крім того допоміжні аналітичні рахунки</w:t>
      </w:r>
      <w:r w:rsidRPr="00A762D9">
        <w:rPr>
          <w:lang w:val="uk-UA"/>
        </w:rPr>
        <w:t>.</w:t>
      </w:r>
    </w:p>
    <w:p w:rsidR="00B41FD4" w:rsidRPr="002C39EE" w:rsidRDefault="00B41FD4" w:rsidP="00507F69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2C39EE">
        <w:rPr>
          <w:rFonts w:ascii="Times New Roman" w:hAnsi="Times New Roman"/>
          <w:sz w:val="28"/>
          <w:szCs w:val="28"/>
          <w:lang w:val="uk-UA"/>
        </w:rPr>
        <w:t xml:space="preserve">Основною діяльністю АТП є перевезення пасажирів та вантажів, яка несе за собою певні витрати. Витрати групуються за видами виробництва, виробничими підрозділами, видами перевезень тощо. </w:t>
      </w:r>
      <w:r w:rsidRPr="00655FE2">
        <w:rPr>
          <w:rFonts w:ascii="Times New Roman" w:hAnsi="Times New Roman"/>
          <w:sz w:val="28"/>
          <w:szCs w:val="28"/>
          <w:lang w:val="uk-UA"/>
        </w:rPr>
        <w:t>Облік і калькулювання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55FE2">
        <w:rPr>
          <w:rFonts w:ascii="Times New Roman" w:hAnsi="Times New Roman"/>
          <w:sz w:val="28"/>
          <w:szCs w:val="28"/>
          <w:lang w:val="uk-UA"/>
        </w:rPr>
        <w:t>фактичної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55FE2">
        <w:rPr>
          <w:rFonts w:ascii="Times New Roman" w:hAnsi="Times New Roman"/>
          <w:sz w:val="28"/>
          <w:szCs w:val="28"/>
          <w:lang w:val="uk-UA"/>
        </w:rPr>
        <w:t>собівартості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55FE2">
        <w:rPr>
          <w:rFonts w:ascii="Times New Roman" w:hAnsi="Times New Roman"/>
          <w:sz w:val="28"/>
          <w:szCs w:val="28"/>
          <w:lang w:val="uk-UA"/>
        </w:rPr>
        <w:t>перевезень на транспортних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55FE2">
        <w:rPr>
          <w:rFonts w:ascii="Times New Roman" w:hAnsi="Times New Roman"/>
          <w:sz w:val="28"/>
          <w:szCs w:val="28"/>
          <w:lang w:val="uk-UA"/>
        </w:rPr>
        <w:t>підприємствах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55FE2">
        <w:rPr>
          <w:rFonts w:ascii="Times New Roman" w:hAnsi="Times New Roman"/>
          <w:sz w:val="28"/>
          <w:szCs w:val="28"/>
          <w:lang w:val="uk-UA"/>
        </w:rPr>
        <w:t>здійснюється з використанням нормативного, стандарт-костінгу, позамовного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55FE2">
        <w:rPr>
          <w:rFonts w:ascii="Times New Roman" w:hAnsi="Times New Roman"/>
          <w:sz w:val="28"/>
          <w:szCs w:val="28"/>
          <w:lang w:val="uk-UA"/>
        </w:rPr>
        <w:t>методів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55FE2">
        <w:rPr>
          <w:rFonts w:ascii="Times New Roman" w:hAnsi="Times New Roman"/>
          <w:sz w:val="28"/>
          <w:szCs w:val="28"/>
          <w:lang w:val="uk-UA"/>
        </w:rPr>
        <w:t>або простим підрахунком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55FE2">
        <w:rPr>
          <w:rFonts w:ascii="Times New Roman" w:hAnsi="Times New Roman"/>
          <w:sz w:val="28"/>
          <w:szCs w:val="28"/>
          <w:lang w:val="uk-UA"/>
        </w:rPr>
        <w:t>витрат.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55FE2">
        <w:rPr>
          <w:rFonts w:ascii="Times New Roman" w:hAnsi="Times New Roman"/>
          <w:sz w:val="28"/>
          <w:szCs w:val="28"/>
          <w:lang w:val="uk-UA"/>
        </w:rPr>
        <w:t>Загально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55FE2">
        <w:rPr>
          <w:rFonts w:ascii="Times New Roman" w:hAnsi="Times New Roman"/>
          <w:sz w:val="28"/>
          <w:szCs w:val="28"/>
          <w:lang w:val="uk-UA"/>
        </w:rPr>
        <w:t>виробничі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55FE2">
        <w:rPr>
          <w:rFonts w:ascii="Times New Roman" w:hAnsi="Times New Roman"/>
          <w:sz w:val="28"/>
          <w:szCs w:val="28"/>
          <w:lang w:val="uk-UA"/>
        </w:rPr>
        <w:t>витрати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55FE2">
        <w:rPr>
          <w:rFonts w:ascii="Times New Roman" w:hAnsi="Times New Roman"/>
          <w:sz w:val="28"/>
          <w:szCs w:val="28"/>
          <w:lang w:val="uk-UA"/>
        </w:rPr>
        <w:t>транспортних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55FE2">
        <w:rPr>
          <w:rFonts w:ascii="Times New Roman" w:hAnsi="Times New Roman"/>
          <w:sz w:val="28"/>
          <w:szCs w:val="28"/>
          <w:lang w:val="uk-UA"/>
        </w:rPr>
        <w:t>підприємств</w:t>
      </w:r>
      <w:r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655FE2">
        <w:rPr>
          <w:rFonts w:ascii="Times New Roman" w:hAnsi="Times New Roman"/>
          <w:sz w:val="28"/>
          <w:szCs w:val="28"/>
          <w:lang w:val="uk-UA"/>
        </w:rPr>
        <w:t>щомісяця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55FE2">
        <w:rPr>
          <w:rFonts w:ascii="Times New Roman" w:hAnsi="Times New Roman"/>
          <w:sz w:val="28"/>
          <w:szCs w:val="28"/>
          <w:lang w:val="uk-UA"/>
        </w:rPr>
        <w:t>розподіляються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55FE2">
        <w:rPr>
          <w:rFonts w:ascii="Times New Roman" w:hAnsi="Times New Roman"/>
          <w:sz w:val="28"/>
          <w:szCs w:val="28"/>
          <w:lang w:val="uk-UA"/>
        </w:rPr>
        <w:t>між [7]:</w:t>
      </w:r>
    </w:p>
    <w:p w:rsidR="00B41FD4" w:rsidRPr="002C39EE" w:rsidRDefault="00B41FD4" w:rsidP="0039436B">
      <w:pPr>
        <w:pStyle w:val="ListParagraph"/>
        <w:numPr>
          <w:ilvl w:val="0"/>
          <w:numId w:val="5"/>
        </w:numPr>
        <w:spacing w:after="0" w:line="360" w:lineRule="auto"/>
        <w:ind w:left="993" w:hanging="284"/>
        <w:jc w:val="both"/>
        <w:rPr>
          <w:rFonts w:ascii="Times New Roman" w:hAnsi="Times New Roman"/>
          <w:sz w:val="28"/>
          <w:szCs w:val="28"/>
          <w:lang w:val="uk-UA"/>
        </w:rPr>
      </w:pPr>
      <w:r w:rsidRPr="002C39EE">
        <w:rPr>
          <w:rFonts w:ascii="Times New Roman" w:hAnsi="Times New Roman"/>
          <w:sz w:val="28"/>
          <w:szCs w:val="28"/>
        </w:rPr>
        <w:t>основним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C39EE">
        <w:rPr>
          <w:rFonts w:ascii="Times New Roman" w:hAnsi="Times New Roman"/>
          <w:sz w:val="28"/>
          <w:szCs w:val="28"/>
        </w:rPr>
        <w:t>виробництвом з подальшим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C39EE">
        <w:rPr>
          <w:rFonts w:ascii="Times New Roman" w:hAnsi="Times New Roman"/>
          <w:sz w:val="28"/>
          <w:szCs w:val="28"/>
        </w:rPr>
        <w:t>розподілом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C39EE">
        <w:rPr>
          <w:rFonts w:ascii="Times New Roman" w:hAnsi="Times New Roman"/>
          <w:sz w:val="28"/>
          <w:szCs w:val="28"/>
        </w:rPr>
        <w:t>між видами перевезень;</w:t>
      </w:r>
    </w:p>
    <w:p w:rsidR="00B41FD4" w:rsidRPr="002C39EE" w:rsidRDefault="00B41FD4" w:rsidP="0039436B">
      <w:pPr>
        <w:pStyle w:val="ListParagraph"/>
        <w:numPr>
          <w:ilvl w:val="0"/>
          <w:numId w:val="5"/>
        </w:numPr>
        <w:spacing w:after="0" w:line="360" w:lineRule="auto"/>
        <w:ind w:left="993" w:hanging="284"/>
        <w:jc w:val="both"/>
        <w:rPr>
          <w:rFonts w:ascii="Times New Roman" w:hAnsi="Times New Roman"/>
          <w:sz w:val="28"/>
          <w:szCs w:val="28"/>
          <w:lang w:val="uk-UA"/>
        </w:rPr>
      </w:pPr>
      <w:r w:rsidRPr="002C39EE">
        <w:rPr>
          <w:rFonts w:ascii="Times New Roman" w:hAnsi="Times New Roman"/>
          <w:sz w:val="28"/>
          <w:szCs w:val="28"/>
        </w:rPr>
        <w:t>допоміж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C39EE">
        <w:rPr>
          <w:rFonts w:ascii="Times New Roman" w:hAnsi="Times New Roman"/>
          <w:sz w:val="28"/>
          <w:szCs w:val="28"/>
        </w:rPr>
        <w:t>ним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C39EE">
        <w:rPr>
          <w:rFonts w:ascii="Times New Roman" w:hAnsi="Times New Roman"/>
          <w:sz w:val="28"/>
          <w:szCs w:val="28"/>
        </w:rPr>
        <w:t>виробництвом у частині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C39EE">
        <w:rPr>
          <w:rFonts w:ascii="Times New Roman" w:hAnsi="Times New Roman"/>
          <w:sz w:val="28"/>
          <w:szCs w:val="28"/>
        </w:rPr>
        <w:t>робіт, призначених для потреб власного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C39EE">
        <w:rPr>
          <w:rFonts w:ascii="Times New Roman" w:hAnsi="Times New Roman"/>
          <w:sz w:val="28"/>
          <w:szCs w:val="28"/>
        </w:rPr>
        <w:t>капітального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C39EE">
        <w:rPr>
          <w:rFonts w:ascii="Times New Roman" w:hAnsi="Times New Roman"/>
          <w:sz w:val="28"/>
          <w:szCs w:val="28"/>
        </w:rPr>
        <w:t>будівництва, непромислових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C39EE">
        <w:rPr>
          <w:rFonts w:ascii="Times New Roman" w:hAnsi="Times New Roman"/>
          <w:sz w:val="28"/>
          <w:szCs w:val="28"/>
        </w:rPr>
        <w:t>господарств, а також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C39EE">
        <w:rPr>
          <w:rFonts w:ascii="Times New Roman" w:hAnsi="Times New Roman"/>
          <w:sz w:val="28"/>
          <w:szCs w:val="28"/>
        </w:rPr>
        <w:t>для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C39EE">
        <w:rPr>
          <w:rFonts w:ascii="Times New Roman" w:hAnsi="Times New Roman"/>
          <w:sz w:val="28"/>
          <w:szCs w:val="28"/>
        </w:rPr>
        <w:t>реалізації;</w:t>
      </w:r>
    </w:p>
    <w:p w:rsidR="00B41FD4" w:rsidRPr="002C39EE" w:rsidRDefault="00B41FD4" w:rsidP="0039436B">
      <w:pPr>
        <w:pStyle w:val="ListParagraph"/>
        <w:numPr>
          <w:ilvl w:val="0"/>
          <w:numId w:val="5"/>
        </w:numPr>
        <w:spacing w:after="0" w:line="360" w:lineRule="auto"/>
        <w:ind w:left="993" w:hanging="284"/>
        <w:jc w:val="both"/>
        <w:rPr>
          <w:rFonts w:ascii="Times New Roman" w:hAnsi="Times New Roman"/>
          <w:sz w:val="28"/>
          <w:szCs w:val="28"/>
          <w:lang w:val="uk-UA"/>
        </w:rPr>
      </w:pPr>
      <w:r w:rsidRPr="002C39EE">
        <w:rPr>
          <w:rFonts w:ascii="Times New Roman" w:hAnsi="Times New Roman"/>
          <w:sz w:val="28"/>
          <w:szCs w:val="28"/>
        </w:rPr>
        <w:t>обслуговуючими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C39EE">
        <w:rPr>
          <w:rFonts w:ascii="Times New Roman" w:hAnsi="Times New Roman"/>
          <w:sz w:val="28"/>
          <w:szCs w:val="28"/>
        </w:rPr>
        <w:t>виробництвами;</w:t>
      </w:r>
    </w:p>
    <w:p w:rsidR="00B41FD4" w:rsidRPr="002C39EE" w:rsidRDefault="00B41FD4" w:rsidP="0039436B">
      <w:pPr>
        <w:pStyle w:val="ListParagraph"/>
        <w:numPr>
          <w:ilvl w:val="0"/>
          <w:numId w:val="5"/>
        </w:numPr>
        <w:spacing w:after="0" w:line="360" w:lineRule="auto"/>
        <w:ind w:left="993" w:hanging="284"/>
        <w:jc w:val="both"/>
        <w:rPr>
          <w:rFonts w:ascii="Times New Roman" w:hAnsi="Times New Roman"/>
          <w:sz w:val="28"/>
          <w:szCs w:val="28"/>
          <w:lang w:val="uk-UA"/>
        </w:rPr>
      </w:pPr>
      <w:r w:rsidRPr="002C39EE">
        <w:rPr>
          <w:rFonts w:ascii="Times New Roman" w:hAnsi="Times New Roman"/>
          <w:sz w:val="28"/>
          <w:szCs w:val="28"/>
        </w:rPr>
        <w:t>капітальним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C39EE">
        <w:rPr>
          <w:rFonts w:ascii="Times New Roman" w:hAnsi="Times New Roman"/>
          <w:sz w:val="28"/>
          <w:szCs w:val="28"/>
        </w:rPr>
        <w:t>будівництвом, що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C39EE">
        <w:rPr>
          <w:rFonts w:ascii="Times New Roman" w:hAnsi="Times New Roman"/>
          <w:sz w:val="28"/>
          <w:szCs w:val="28"/>
        </w:rPr>
        <w:t>здійснюється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C39EE">
        <w:rPr>
          <w:rFonts w:ascii="Times New Roman" w:hAnsi="Times New Roman"/>
          <w:sz w:val="28"/>
          <w:szCs w:val="28"/>
        </w:rPr>
        <w:t>господарським способом.</w:t>
      </w:r>
    </w:p>
    <w:p w:rsidR="00B41FD4" w:rsidRDefault="00B41FD4" w:rsidP="00D03D3E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 залежності від виду автотранспорту за калькуляційну одиницю собівартості приймається: </w:t>
      </w:r>
    </w:p>
    <w:p w:rsidR="00B41FD4" w:rsidRDefault="00B41FD4" w:rsidP="00360045">
      <w:pPr>
        <w:pStyle w:val="ListParagraph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для вантажних автомобілів із встановленим погодинним тарифом – 10 автогодин;</w:t>
      </w:r>
    </w:p>
    <w:p w:rsidR="00B41FD4" w:rsidRDefault="00B41FD4" w:rsidP="00360045">
      <w:pPr>
        <w:pStyle w:val="ListParagraph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для вантажних автомобілів із встановленим тарифом за 1 тону перевезеного вантажу – 10 т/км;</w:t>
      </w:r>
    </w:p>
    <w:p w:rsidR="00B41FD4" w:rsidRDefault="00B41FD4" w:rsidP="00360045">
      <w:pPr>
        <w:pStyle w:val="ListParagraph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для автобусного парку – 10 пасижиро/км;</w:t>
      </w:r>
    </w:p>
    <w:p w:rsidR="00B41FD4" w:rsidRPr="00360045" w:rsidRDefault="00B41FD4" w:rsidP="00360045">
      <w:pPr>
        <w:pStyle w:val="ListParagraph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для вантажних та легкових автомобілів таксі – 10 оплачених км.</w:t>
      </w:r>
    </w:p>
    <w:p w:rsidR="00B41FD4" w:rsidRPr="002C39EE" w:rsidRDefault="00B41FD4" w:rsidP="00D03D3E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655FE2">
        <w:rPr>
          <w:rFonts w:ascii="Times New Roman" w:hAnsi="Times New Roman"/>
          <w:sz w:val="28"/>
          <w:szCs w:val="28"/>
          <w:lang w:val="uk-UA"/>
        </w:rPr>
        <w:t>Залежно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55FE2">
        <w:rPr>
          <w:rFonts w:ascii="Times New Roman" w:hAnsi="Times New Roman"/>
          <w:sz w:val="28"/>
          <w:szCs w:val="28"/>
          <w:lang w:val="uk-UA"/>
        </w:rPr>
        <w:t>від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55FE2">
        <w:rPr>
          <w:rFonts w:ascii="Times New Roman" w:hAnsi="Times New Roman"/>
          <w:sz w:val="28"/>
          <w:szCs w:val="28"/>
          <w:lang w:val="uk-UA"/>
        </w:rPr>
        <w:t>виді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55FE2">
        <w:rPr>
          <w:rFonts w:ascii="Times New Roman" w:hAnsi="Times New Roman"/>
          <w:sz w:val="28"/>
          <w:szCs w:val="28"/>
          <w:lang w:val="uk-UA"/>
        </w:rPr>
        <w:t>ввиконуваних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55FE2">
        <w:rPr>
          <w:rFonts w:ascii="Times New Roman" w:hAnsi="Times New Roman"/>
          <w:sz w:val="28"/>
          <w:szCs w:val="28"/>
          <w:lang w:val="uk-UA"/>
        </w:rPr>
        <w:t>перевезень (робіт, послуг), технічного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55FE2">
        <w:rPr>
          <w:rFonts w:ascii="Times New Roman" w:hAnsi="Times New Roman"/>
          <w:sz w:val="28"/>
          <w:szCs w:val="28"/>
          <w:lang w:val="uk-UA"/>
        </w:rPr>
        <w:t>оснащення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55FE2">
        <w:rPr>
          <w:rFonts w:ascii="Times New Roman" w:hAnsi="Times New Roman"/>
          <w:sz w:val="28"/>
          <w:szCs w:val="28"/>
          <w:lang w:val="uk-UA"/>
        </w:rPr>
        <w:t xml:space="preserve">рухомого складу та інших умов </w:t>
      </w:r>
      <w:r>
        <w:rPr>
          <w:rFonts w:ascii="Times New Roman" w:hAnsi="Times New Roman"/>
          <w:sz w:val="28"/>
          <w:szCs w:val="28"/>
          <w:lang w:val="uk-UA"/>
        </w:rPr>
        <w:t xml:space="preserve">загально ви </w:t>
      </w:r>
      <w:r w:rsidRPr="00655FE2">
        <w:rPr>
          <w:rFonts w:ascii="Times New Roman" w:hAnsi="Times New Roman"/>
          <w:sz w:val="28"/>
          <w:szCs w:val="28"/>
          <w:lang w:val="uk-UA"/>
        </w:rPr>
        <w:t>робничі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55FE2">
        <w:rPr>
          <w:rFonts w:ascii="Times New Roman" w:hAnsi="Times New Roman"/>
          <w:sz w:val="28"/>
          <w:szCs w:val="28"/>
          <w:lang w:val="uk-UA"/>
        </w:rPr>
        <w:t>витрати, віднесені до основного виробництва, розподіляються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55FE2">
        <w:rPr>
          <w:rFonts w:ascii="Times New Roman" w:hAnsi="Times New Roman"/>
          <w:sz w:val="28"/>
          <w:szCs w:val="28"/>
          <w:lang w:val="uk-UA"/>
        </w:rPr>
        <w:t>міжокремими видами перевезень за одним з таких методів:</w:t>
      </w:r>
    </w:p>
    <w:p w:rsidR="00B41FD4" w:rsidRPr="002C39EE" w:rsidRDefault="00B41FD4" w:rsidP="0039436B">
      <w:pPr>
        <w:pStyle w:val="ListParagraph"/>
        <w:numPr>
          <w:ilvl w:val="0"/>
          <w:numId w:val="6"/>
        </w:numPr>
        <w:spacing w:after="0" w:line="360" w:lineRule="auto"/>
        <w:ind w:left="993" w:hanging="284"/>
        <w:jc w:val="both"/>
        <w:rPr>
          <w:rFonts w:ascii="Times New Roman" w:hAnsi="Times New Roman"/>
          <w:sz w:val="28"/>
          <w:szCs w:val="28"/>
          <w:lang w:val="uk-UA"/>
        </w:rPr>
      </w:pPr>
      <w:r w:rsidRPr="002C39EE">
        <w:rPr>
          <w:rFonts w:ascii="Times New Roman" w:hAnsi="Times New Roman"/>
          <w:sz w:val="28"/>
          <w:szCs w:val="28"/>
        </w:rPr>
        <w:t>пропорційно до заробітної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C39EE">
        <w:rPr>
          <w:rFonts w:ascii="Times New Roman" w:hAnsi="Times New Roman"/>
          <w:sz w:val="28"/>
          <w:szCs w:val="28"/>
        </w:rPr>
        <w:t>плати основних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C39EE">
        <w:rPr>
          <w:rFonts w:ascii="Times New Roman" w:hAnsi="Times New Roman"/>
          <w:sz w:val="28"/>
          <w:szCs w:val="28"/>
        </w:rPr>
        <w:t xml:space="preserve">працівників; </w:t>
      </w:r>
    </w:p>
    <w:p w:rsidR="00B41FD4" w:rsidRPr="002C39EE" w:rsidRDefault="00B41FD4" w:rsidP="0039436B">
      <w:pPr>
        <w:pStyle w:val="ListParagraph"/>
        <w:numPr>
          <w:ilvl w:val="0"/>
          <w:numId w:val="6"/>
        </w:numPr>
        <w:spacing w:after="0" w:line="360" w:lineRule="auto"/>
        <w:ind w:left="993" w:hanging="284"/>
        <w:jc w:val="both"/>
        <w:rPr>
          <w:rFonts w:ascii="Times New Roman" w:hAnsi="Times New Roman"/>
          <w:sz w:val="28"/>
          <w:szCs w:val="28"/>
          <w:lang w:val="uk-UA"/>
        </w:rPr>
      </w:pPr>
      <w:r w:rsidRPr="002C39EE">
        <w:rPr>
          <w:rFonts w:ascii="Times New Roman" w:hAnsi="Times New Roman"/>
          <w:sz w:val="28"/>
          <w:szCs w:val="28"/>
        </w:rPr>
        <w:t>відповідно до частки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C39EE">
        <w:rPr>
          <w:rFonts w:ascii="Times New Roman" w:hAnsi="Times New Roman"/>
          <w:sz w:val="28"/>
          <w:szCs w:val="28"/>
        </w:rPr>
        <w:t>планової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C39EE">
        <w:rPr>
          <w:rFonts w:ascii="Times New Roman" w:hAnsi="Times New Roman"/>
          <w:sz w:val="28"/>
          <w:szCs w:val="28"/>
        </w:rPr>
        <w:t>суми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C39EE">
        <w:rPr>
          <w:rFonts w:ascii="Times New Roman" w:hAnsi="Times New Roman"/>
          <w:sz w:val="28"/>
          <w:szCs w:val="28"/>
        </w:rPr>
        <w:t>загальногосподарських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C39EE">
        <w:rPr>
          <w:rFonts w:ascii="Times New Roman" w:hAnsi="Times New Roman"/>
          <w:sz w:val="28"/>
          <w:szCs w:val="28"/>
        </w:rPr>
        <w:t>витрат у загальній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C39EE">
        <w:rPr>
          <w:rFonts w:ascii="Times New Roman" w:hAnsi="Times New Roman"/>
          <w:sz w:val="28"/>
          <w:szCs w:val="28"/>
        </w:rPr>
        <w:t>сумі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C39EE">
        <w:rPr>
          <w:rFonts w:ascii="Times New Roman" w:hAnsi="Times New Roman"/>
          <w:sz w:val="28"/>
          <w:szCs w:val="28"/>
        </w:rPr>
        <w:t>планової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C39EE">
        <w:rPr>
          <w:rFonts w:ascii="Times New Roman" w:hAnsi="Times New Roman"/>
          <w:sz w:val="28"/>
          <w:szCs w:val="28"/>
        </w:rPr>
        <w:t>собівартості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C39EE">
        <w:rPr>
          <w:rFonts w:ascii="Times New Roman" w:hAnsi="Times New Roman"/>
          <w:sz w:val="28"/>
          <w:szCs w:val="28"/>
        </w:rPr>
        <w:t>окремих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C39EE">
        <w:rPr>
          <w:rFonts w:ascii="Times New Roman" w:hAnsi="Times New Roman"/>
          <w:sz w:val="28"/>
          <w:szCs w:val="28"/>
        </w:rPr>
        <w:t>видів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C39EE">
        <w:rPr>
          <w:rFonts w:ascii="Times New Roman" w:hAnsi="Times New Roman"/>
          <w:sz w:val="28"/>
          <w:szCs w:val="28"/>
        </w:rPr>
        <w:t>перевезень;</w:t>
      </w:r>
    </w:p>
    <w:p w:rsidR="00B41FD4" w:rsidRPr="002C39EE" w:rsidRDefault="00B41FD4" w:rsidP="0039436B">
      <w:pPr>
        <w:pStyle w:val="ListParagraph"/>
        <w:numPr>
          <w:ilvl w:val="0"/>
          <w:numId w:val="6"/>
        </w:numPr>
        <w:spacing w:after="0" w:line="360" w:lineRule="auto"/>
        <w:ind w:left="993" w:hanging="284"/>
        <w:jc w:val="both"/>
        <w:rPr>
          <w:rFonts w:ascii="Times New Roman" w:hAnsi="Times New Roman"/>
          <w:sz w:val="28"/>
          <w:szCs w:val="28"/>
          <w:lang w:val="uk-UA"/>
        </w:rPr>
      </w:pPr>
      <w:r w:rsidRPr="002C39EE">
        <w:rPr>
          <w:rFonts w:ascii="Times New Roman" w:hAnsi="Times New Roman"/>
          <w:sz w:val="28"/>
          <w:szCs w:val="28"/>
        </w:rPr>
        <w:t>на одну гривню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C39EE">
        <w:rPr>
          <w:rFonts w:ascii="Times New Roman" w:hAnsi="Times New Roman"/>
          <w:sz w:val="28"/>
          <w:szCs w:val="28"/>
        </w:rPr>
        <w:t>фактичних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C39EE">
        <w:rPr>
          <w:rFonts w:ascii="Times New Roman" w:hAnsi="Times New Roman"/>
          <w:sz w:val="28"/>
          <w:szCs w:val="28"/>
        </w:rPr>
        <w:t>доходів за окремими видами перевезень;</w:t>
      </w:r>
    </w:p>
    <w:p w:rsidR="00B41FD4" w:rsidRPr="002C39EE" w:rsidRDefault="00B41FD4" w:rsidP="00CC1B96">
      <w:pPr>
        <w:pStyle w:val="ListParagraph"/>
        <w:numPr>
          <w:ilvl w:val="0"/>
          <w:numId w:val="6"/>
        </w:numPr>
        <w:spacing w:after="0" w:line="360" w:lineRule="auto"/>
        <w:ind w:left="993" w:hanging="284"/>
        <w:jc w:val="both"/>
        <w:rPr>
          <w:rFonts w:ascii="Times New Roman" w:hAnsi="Times New Roman"/>
          <w:sz w:val="28"/>
          <w:szCs w:val="28"/>
          <w:lang w:val="uk-UA"/>
        </w:rPr>
      </w:pPr>
      <w:r w:rsidRPr="002C39EE">
        <w:rPr>
          <w:rFonts w:ascii="Times New Roman" w:hAnsi="Times New Roman"/>
          <w:sz w:val="28"/>
          <w:szCs w:val="28"/>
        </w:rPr>
        <w:t>пропорційно до сумивитрат за іншими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C39EE">
        <w:rPr>
          <w:rFonts w:ascii="Times New Roman" w:hAnsi="Times New Roman"/>
          <w:sz w:val="28"/>
          <w:szCs w:val="28"/>
        </w:rPr>
        <w:t>калькуляційними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C39EE">
        <w:rPr>
          <w:rFonts w:ascii="Times New Roman" w:hAnsi="Times New Roman"/>
          <w:sz w:val="28"/>
          <w:szCs w:val="28"/>
        </w:rPr>
        <w:t>статтями.</w:t>
      </w:r>
    </w:p>
    <w:p w:rsidR="00B41FD4" w:rsidRPr="002C39EE" w:rsidRDefault="00B41FD4" w:rsidP="00B500A8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  <w:r w:rsidRPr="002C39EE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Підприємства, здійснюючи операції з перевезення пасажирів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,</w:t>
      </w:r>
      <w:r w:rsidRPr="002C39EE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здійснюють бухгалтерські проведення і порядок відображення в обліку операцій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з купівлі паливно-мастильних матеріалів, які надані в таблиці 1</w:t>
      </w:r>
      <w:r w:rsidRPr="002C39EE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[8].</w:t>
      </w:r>
    </w:p>
    <w:p w:rsidR="00B41FD4" w:rsidRPr="002C39EE" w:rsidRDefault="00B41FD4" w:rsidP="00155161">
      <w:pPr>
        <w:spacing w:after="0" w:line="360" w:lineRule="auto"/>
        <w:ind w:firstLine="709"/>
        <w:contextualSpacing/>
        <w:jc w:val="right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Таблиця 1</w:t>
      </w:r>
    </w:p>
    <w:p w:rsidR="00B41FD4" w:rsidRPr="002C39EE" w:rsidRDefault="00B41FD4" w:rsidP="00155161">
      <w:pPr>
        <w:spacing w:after="0" w:line="360" w:lineRule="auto"/>
        <w:ind w:left="708" w:firstLine="1"/>
        <w:contextualSpacing/>
        <w:jc w:val="center"/>
        <w:rPr>
          <w:rFonts w:ascii="Times New Roman" w:hAnsi="Times New Roman"/>
          <w:sz w:val="28"/>
          <w:szCs w:val="28"/>
          <w:lang w:val="uk-UA"/>
        </w:rPr>
      </w:pPr>
      <w:r w:rsidRPr="002C39EE">
        <w:rPr>
          <w:rFonts w:ascii="Times New Roman" w:hAnsi="Times New Roman"/>
          <w:sz w:val="28"/>
          <w:szCs w:val="28"/>
          <w:lang w:val="uk-UA"/>
        </w:rPr>
        <w:t xml:space="preserve">Кореспонденція рахунків з обліку </w:t>
      </w:r>
      <w:r>
        <w:rPr>
          <w:rFonts w:ascii="Times New Roman" w:hAnsi="Times New Roman"/>
          <w:sz w:val="28"/>
          <w:szCs w:val="28"/>
          <w:lang w:val="uk-UA"/>
        </w:rPr>
        <w:t>купівлі паливно-мастильних   матеріалів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101"/>
        <w:gridCol w:w="6696"/>
        <w:gridCol w:w="1056"/>
        <w:gridCol w:w="894"/>
      </w:tblGrid>
      <w:tr w:rsidR="00B41FD4" w:rsidRPr="00C44F50" w:rsidTr="00C44F50">
        <w:tc>
          <w:tcPr>
            <w:tcW w:w="1101" w:type="dxa"/>
          </w:tcPr>
          <w:p w:rsidR="00B41FD4" w:rsidRPr="00C44F50" w:rsidRDefault="00B41FD4" w:rsidP="00C44F50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44F50">
              <w:rPr>
                <w:rFonts w:ascii="Times New Roman" w:hAnsi="Times New Roman"/>
                <w:sz w:val="28"/>
                <w:szCs w:val="28"/>
                <w:lang w:val="uk-UA"/>
              </w:rPr>
              <w:t>№ п/п</w:t>
            </w:r>
          </w:p>
        </w:tc>
        <w:tc>
          <w:tcPr>
            <w:tcW w:w="6696" w:type="dxa"/>
          </w:tcPr>
          <w:p w:rsidR="00B41FD4" w:rsidRPr="00C44F50" w:rsidRDefault="00B41FD4" w:rsidP="00C44F50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44F50">
              <w:rPr>
                <w:rFonts w:ascii="Times New Roman" w:hAnsi="Times New Roman"/>
                <w:sz w:val="28"/>
                <w:szCs w:val="28"/>
                <w:lang w:val="uk-UA"/>
              </w:rPr>
              <w:t>Зміст господарської операції</w:t>
            </w:r>
          </w:p>
        </w:tc>
        <w:tc>
          <w:tcPr>
            <w:tcW w:w="1056" w:type="dxa"/>
          </w:tcPr>
          <w:p w:rsidR="00B41FD4" w:rsidRPr="00C44F50" w:rsidRDefault="00B41FD4" w:rsidP="00C44F50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44F50">
              <w:rPr>
                <w:rFonts w:ascii="Times New Roman" w:hAnsi="Times New Roman"/>
                <w:sz w:val="28"/>
                <w:szCs w:val="28"/>
                <w:lang w:val="uk-UA"/>
              </w:rPr>
              <w:t>Д-т</w:t>
            </w:r>
          </w:p>
        </w:tc>
        <w:tc>
          <w:tcPr>
            <w:tcW w:w="894" w:type="dxa"/>
          </w:tcPr>
          <w:p w:rsidR="00B41FD4" w:rsidRPr="00C44F50" w:rsidRDefault="00B41FD4" w:rsidP="00C44F50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44F50">
              <w:rPr>
                <w:rFonts w:ascii="Times New Roman" w:hAnsi="Times New Roman"/>
                <w:sz w:val="28"/>
                <w:szCs w:val="28"/>
                <w:lang w:val="uk-UA"/>
              </w:rPr>
              <w:t>К-т</w:t>
            </w:r>
          </w:p>
        </w:tc>
      </w:tr>
      <w:tr w:rsidR="00B41FD4" w:rsidRPr="00C44F50" w:rsidTr="00C44F50">
        <w:trPr>
          <w:trHeight w:val="303"/>
        </w:trPr>
        <w:tc>
          <w:tcPr>
            <w:tcW w:w="1101" w:type="dxa"/>
          </w:tcPr>
          <w:p w:rsidR="00B41FD4" w:rsidRPr="00C44F50" w:rsidRDefault="00B41FD4" w:rsidP="00C44F50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44F50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6696" w:type="dxa"/>
          </w:tcPr>
          <w:p w:rsidR="00B41FD4" w:rsidRPr="00C44F50" w:rsidRDefault="00B41FD4" w:rsidP="00C44F50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44F50"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1056" w:type="dxa"/>
          </w:tcPr>
          <w:p w:rsidR="00B41FD4" w:rsidRPr="00C44F50" w:rsidRDefault="00B41FD4" w:rsidP="00C44F50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44F50"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894" w:type="dxa"/>
          </w:tcPr>
          <w:p w:rsidR="00B41FD4" w:rsidRPr="00C44F50" w:rsidRDefault="00B41FD4" w:rsidP="00C44F50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44F50"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</w:p>
        </w:tc>
      </w:tr>
      <w:tr w:rsidR="00B41FD4" w:rsidRPr="00C44F50" w:rsidTr="00C44F50">
        <w:trPr>
          <w:trHeight w:val="303"/>
        </w:trPr>
        <w:tc>
          <w:tcPr>
            <w:tcW w:w="9747" w:type="dxa"/>
            <w:gridSpan w:val="4"/>
          </w:tcPr>
          <w:p w:rsidR="00B41FD4" w:rsidRPr="00C44F50" w:rsidRDefault="00B41FD4" w:rsidP="00C44F50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44F50">
              <w:rPr>
                <w:rFonts w:ascii="Times New Roman" w:hAnsi="Times New Roman"/>
                <w:sz w:val="28"/>
                <w:szCs w:val="28"/>
                <w:lang w:val="uk-UA"/>
              </w:rPr>
              <w:t>Попередня оплата</w:t>
            </w:r>
          </w:p>
        </w:tc>
      </w:tr>
      <w:tr w:rsidR="00B41FD4" w:rsidRPr="00C44F50" w:rsidTr="00C44F50">
        <w:tc>
          <w:tcPr>
            <w:tcW w:w="1101" w:type="dxa"/>
          </w:tcPr>
          <w:p w:rsidR="00B41FD4" w:rsidRPr="00C44F50" w:rsidRDefault="00B41FD4" w:rsidP="00C44F50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44F50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6696" w:type="dxa"/>
          </w:tcPr>
          <w:p w:rsidR="00B41FD4" w:rsidRPr="00C44F50" w:rsidRDefault="00B41FD4" w:rsidP="00C44F5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44F50">
              <w:rPr>
                <w:rFonts w:ascii="Times New Roman" w:hAnsi="Times New Roman"/>
                <w:sz w:val="28"/>
                <w:szCs w:val="28"/>
                <w:lang w:val="uk-UA"/>
              </w:rPr>
              <w:t>Оплачено рахунки за паливно-мастильні       матеріали</w:t>
            </w:r>
          </w:p>
        </w:tc>
        <w:tc>
          <w:tcPr>
            <w:tcW w:w="1056" w:type="dxa"/>
          </w:tcPr>
          <w:p w:rsidR="00B41FD4" w:rsidRPr="00C44F50" w:rsidRDefault="00B41FD4" w:rsidP="00C44F50">
            <w:pPr>
              <w:spacing w:after="0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44F50">
              <w:rPr>
                <w:rFonts w:ascii="Times New Roman" w:hAnsi="Times New Roman"/>
                <w:sz w:val="28"/>
                <w:szCs w:val="28"/>
                <w:lang w:val="uk-UA"/>
              </w:rPr>
              <w:t>631, 685</w:t>
            </w:r>
          </w:p>
        </w:tc>
        <w:tc>
          <w:tcPr>
            <w:tcW w:w="894" w:type="dxa"/>
          </w:tcPr>
          <w:p w:rsidR="00B41FD4" w:rsidRPr="00C44F50" w:rsidRDefault="00B41FD4" w:rsidP="00C44F50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44F50">
              <w:rPr>
                <w:rFonts w:ascii="Times New Roman" w:hAnsi="Times New Roman"/>
                <w:sz w:val="28"/>
                <w:szCs w:val="28"/>
                <w:lang w:val="uk-UA"/>
              </w:rPr>
              <w:t>311</w:t>
            </w:r>
          </w:p>
        </w:tc>
      </w:tr>
      <w:tr w:rsidR="00B41FD4" w:rsidRPr="00C44F50" w:rsidTr="00C44F50">
        <w:tc>
          <w:tcPr>
            <w:tcW w:w="1101" w:type="dxa"/>
          </w:tcPr>
          <w:p w:rsidR="00B41FD4" w:rsidRPr="00C44F50" w:rsidRDefault="00B41FD4" w:rsidP="00C44F50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44F50"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6696" w:type="dxa"/>
          </w:tcPr>
          <w:p w:rsidR="00B41FD4" w:rsidRPr="00C44F50" w:rsidRDefault="00B41FD4" w:rsidP="00C44F5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44F50">
              <w:rPr>
                <w:rFonts w:ascii="Times New Roman" w:hAnsi="Times New Roman"/>
                <w:sz w:val="28"/>
                <w:szCs w:val="28"/>
                <w:lang w:val="uk-UA"/>
              </w:rPr>
              <w:t>Відображено суму податкового кредиту з ПДВ</w:t>
            </w:r>
          </w:p>
        </w:tc>
        <w:tc>
          <w:tcPr>
            <w:tcW w:w="1056" w:type="dxa"/>
          </w:tcPr>
          <w:p w:rsidR="00B41FD4" w:rsidRPr="00C44F50" w:rsidRDefault="00B41FD4" w:rsidP="00C44F50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44F50">
              <w:rPr>
                <w:rFonts w:ascii="Times New Roman" w:hAnsi="Times New Roman"/>
                <w:sz w:val="28"/>
                <w:szCs w:val="28"/>
                <w:lang w:val="uk-UA"/>
              </w:rPr>
              <w:t>641</w:t>
            </w:r>
          </w:p>
        </w:tc>
        <w:tc>
          <w:tcPr>
            <w:tcW w:w="894" w:type="dxa"/>
          </w:tcPr>
          <w:p w:rsidR="00B41FD4" w:rsidRPr="00C44F50" w:rsidRDefault="00B41FD4" w:rsidP="00C44F50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44F50">
              <w:rPr>
                <w:rFonts w:ascii="Times New Roman" w:hAnsi="Times New Roman"/>
                <w:sz w:val="28"/>
                <w:szCs w:val="28"/>
                <w:lang w:val="uk-UA"/>
              </w:rPr>
              <w:t>644</w:t>
            </w:r>
          </w:p>
        </w:tc>
      </w:tr>
      <w:tr w:rsidR="00B41FD4" w:rsidRPr="00C44F50" w:rsidTr="00C44F50">
        <w:tc>
          <w:tcPr>
            <w:tcW w:w="1101" w:type="dxa"/>
          </w:tcPr>
          <w:p w:rsidR="00B41FD4" w:rsidRPr="00C44F50" w:rsidRDefault="00B41FD4" w:rsidP="00C44F50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44F50"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6696" w:type="dxa"/>
          </w:tcPr>
          <w:p w:rsidR="00B41FD4" w:rsidRPr="00C44F50" w:rsidRDefault="00B41FD4" w:rsidP="00C44F5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44F50">
              <w:rPr>
                <w:rFonts w:ascii="Times New Roman" w:hAnsi="Times New Roman"/>
                <w:sz w:val="28"/>
                <w:szCs w:val="28"/>
                <w:lang w:val="uk-UA"/>
              </w:rPr>
              <w:t>Оприбутковано паливно-мастильні матеріали на склад</w:t>
            </w:r>
          </w:p>
        </w:tc>
        <w:tc>
          <w:tcPr>
            <w:tcW w:w="1056" w:type="dxa"/>
          </w:tcPr>
          <w:p w:rsidR="00B41FD4" w:rsidRPr="00C44F50" w:rsidRDefault="00B41FD4" w:rsidP="00C44F50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44F50">
              <w:rPr>
                <w:rFonts w:ascii="Times New Roman" w:hAnsi="Times New Roman"/>
                <w:sz w:val="28"/>
                <w:szCs w:val="28"/>
                <w:lang w:val="uk-UA"/>
              </w:rPr>
              <w:t>203.1.1</w:t>
            </w:r>
          </w:p>
        </w:tc>
        <w:tc>
          <w:tcPr>
            <w:tcW w:w="894" w:type="dxa"/>
          </w:tcPr>
          <w:p w:rsidR="00B41FD4" w:rsidRPr="00C44F50" w:rsidRDefault="00B41FD4" w:rsidP="00C44F50">
            <w:pPr>
              <w:spacing w:after="0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44F50">
              <w:rPr>
                <w:rFonts w:ascii="Times New Roman" w:hAnsi="Times New Roman"/>
                <w:sz w:val="28"/>
                <w:szCs w:val="28"/>
                <w:lang w:val="uk-UA"/>
              </w:rPr>
              <w:t>631, 685</w:t>
            </w:r>
          </w:p>
        </w:tc>
      </w:tr>
      <w:tr w:rsidR="00B41FD4" w:rsidRPr="00C44F50" w:rsidTr="00C44F50">
        <w:tc>
          <w:tcPr>
            <w:tcW w:w="1101" w:type="dxa"/>
          </w:tcPr>
          <w:p w:rsidR="00B41FD4" w:rsidRPr="00C44F50" w:rsidRDefault="00B41FD4" w:rsidP="00C44F50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44F50"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6696" w:type="dxa"/>
          </w:tcPr>
          <w:p w:rsidR="00B41FD4" w:rsidRPr="00C44F50" w:rsidRDefault="00B41FD4" w:rsidP="00C44F5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44F50">
              <w:rPr>
                <w:rFonts w:ascii="Times New Roman" w:hAnsi="Times New Roman"/>
                <w:sz w:val="28"/>
                <w:szCs w:val="28"/>
                <w:lang w:val="uk-UA"/>
              </w:rPr>
              <w:t>Списано суму податкового кредиту з ПДВ</w:t>
            </w:r>
          </w:p>
        </w:tc>
        <w:tc>
          <w:tcPr>
            <w:tcW w:w="1056" w:type="dxa"/>
          </w:tcPr>
          <w:p w:rsidR="00B41FD4" w:rsidRPr="00C44F50" w:rsidRDefault="00B41FD4" w:rsidP="00C44F50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44F50">
              <w:rPr>
                <w:rFonts w:ascii="Times New Roman" w:hAnsi="Times New Roman"/>
                <w:sz w:val="28"/>
                <w:szCs w:val="28"/>
                <w:lang w:val="uk-UA"/>
              </w:rPr>
              <w:t>644</w:t>
            </w:r>
          </w:p>
        </w:tc>
        <w:tc>
          <w:tcPr>
            <w:tcW w:w="894" w:type="dxa"/>
          </w:tcPr>
          <w:p w:rsidR="00B41FD4" w:rsidRPr="00C44F50" w:rsidRDefault="00B41FD4" w:rsidP="00C44F50">
            <w:pPr>
              <w:spacing w:after="0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44F50">
              <w:rPr>
                <w:rFonts w:ascii="Times New Roman" w:hAnsi="Times New Roman"/>
                <w:sz w:val="28"/>
                <w:szCs w:val="28"/>
                <w:lang w:val="uk-UA"/>
              </w:rPr>
              <w:t>631, 685</w:t>
            </w:r>
          </w:p>
        </w:tc>
      </w:tr>
      <w:tr w:rsidR="00B41FD4" w:rsidRPr="00C44F50" w:rsidTr="00C44F50">
        <w:trPr>
          <w:trHeight w:val="379"/>
        </w:trPr>
        <w:tc>
          <w:tcPr>
            <w:tcW w:w="9747" w:type="dxa"/>
            <w:gridSpan w:val="4"/>
          </w:tcPr>
          <w:p w:rsidR="00B41FD4" w:rsidRPr="00C44F50" w:rsidRDefault="00B41FD4" w:rsidP="00C44F50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44F50">
              <w:rPr>
                <w:rFonts w:ascii="Times New Roman" w:hAnsi="Times New Roman"/>
                <w:sz w:val="28"/>
                <w:szCs w:val="28"/>
                <w:lang w:val="uk-UA"/>
              </w:rPr>
              <w:t>Наступна оплата</w:t>
            </w:r>
          </w:p>
        </w:tc>
      </w:tr>
      <w:tr w:rsidR="00B41FD4" w:rsidRPr="00C44F50" w:rsidTr="00C44F50">
        <w:trPr>
          <w:trHeight w:val="379"/>
        </w:trPr>
        <w:tc>
          <w:tcPr>
            <w:tcW w:w="1101" w:type="dxa"/>
          </w:tcPr>
          <w:p w:rsidR="00B41FD4" w:rsidRPr="00C44F50" w:rsidRDefault="00B41FD4" w:rsidP="00C44F50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44F50">
              <w:rPr>
                <w:rFonts w:ascii="Times New Roman" w:hAnsi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6696" w:type="dxa"/>
          </w:tcPr>
          <w:p w:rsidR="00B41FD4" w:rsidRPr="00C44F50" w:rsidRDefault="00B41FD4" w:rsidP="00C44F5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44F50">
              <w:rPr>
                <w:rFonts w:ascii="Times New Roman" w:hAnsi="Times New Roman"/>
                <w:sz w:val="28"/>
                <w:szCs w:val="28"/>
                <w:lang w:val="uk-UA"/>
              </w:rPr>
              <w:t>Оприбутковані паливно-мастильні матеріали, отримані від постачальника на склад</w:t>
            </w:r>
          </w:p>
        </w:tc>
        <w:tc>
          <w:tcPr>
            <w:tcW w:w="1056" w:type="dxa"/>
          </w:tcPr>
          <w:p w:rsidR="00B41FD4" w:rsidRPr="00C44F50" w:rsidRDefault="00B41FD4" w:rsidP="00C44F50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44F50">
              <w:rPr>
                <w:rFonts w:ascii="Times New Roman" w:hAnsi="Times New Roman"/>
                <w:sz w:val="28"/>
                <w:szCs w:val="28"/>
                <w:lang w:val="uk-UA"/>
              </w:rPr>
              <w:t>203.1.1</w:t>
            </w:r>
          </w:p>
        </w:tc>
        <w:tc>
          <w:tcPr>
            <w:tcW w:w="894" w:type="dxa"/>
          </w:tcPr>
          <w:p w:rsidR="00B41FD4" w:rsidRPr="00C44F50" w:rsidRDefault="00B41FD4" w:rsidP="00C44F50">
            <w:pPr>
              <w:spacing w:after="0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44F50">
              <w:rPr>
                <w:rFonts w:ascii="Times New Roman" w:hAnsi="Times New Roman"/>
                <w:sz w:val="28"/>
                <w:szCs w:val="28"/>
                <w:lang w:val="uk-UA"/>
              </w:rPr>
              <w:t>631, 685</w:t>
            </w:r>
          </w:p>
        </w:tc>
      </w:tr>
      <w:tr w:rsidR="00B41FD4" w:rsidRPr="00C44F50" w:rsidTr="00C44F50">
        <w:trPr>
          <w:trHeight w:val="379"/>
        </w:trPr>
        <w:tc>
          <w:tcPr>
            <w:tcW w:w="1101" w:type="dxa"/>
          </w:tcPr>
          <w:p w:rsidR="00B41FD4" w:rsidRPr="00C44F50" w:rsidRDefault="00B41FD4" w:rsidP="00C44F50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44F50">
              <w:rPr>
                <w:rFonts w:ascii="Times New Roman" w:hAnsi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6696" w:type="dxa"/>
          </w:tcPr>
          <w:p w:rsidR="00B41FD4" w:rsidRPr="00C44F50" w:rsidRDefault="00B41FD4" w:rsidP="00C44F5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44F50">
              <w:rPr>
                <w:rFonts w:ascii="Times New Roman" w:hAnsi="Times New Roman"/>
                <w:sz w:val="28"/>
                <w:szCs w:val="28"/>
                <w:lang w:val="uk-UA"/>
              </w:rPr>
              <w:t>Відображено суму податкового кредиту (за податковою накладною)</w:t>
            </w:r>
          </w:p>
        </w:tc>
        <w:tc>
          <w:tcPr>
            <w:tcW w:w="1056" w:type="dxa"/>
          </w:tcPr>
          <w:p w:rsidR="00B41FD4" w:rsidRPr="00C44F50" w:rsidRDefault="00B41FD4" w:rsidP="00C44F50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44F50">
              <w:rPr>
                <w:rFonts w:ascii="Times New Roman" w:hAnsi="Times New Roman"/>
                <w:sz w:val="28"/>
                <w:szCs w:val="28"/>
                <w:lang w:val="uk-UA"/>
              </w:rPr>
              <w:t>48</w:t>
            </w:r>
          </w:p>
        </w:tc>
        <w:tc>
          <w:tcPr>
            <w:tcW w:w="894" w:type="dxa"/>
          </w:tcPr>
          <w:p w:rsidR="00B41FD4" w:rsidRPr="00C44F50" w:rsidRDefault="00B41FD4" w:rsidP="00C44F50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44F50">
              <w:rPr>
                <w:rFonts w:ascii="Times New Roman" w:hAnsi="Times New Roman"/>
                <w:sz w:val="28"/>
                <w:szCs w:val="28"/>
                <w:lang w:val="uk-UA"/>
              </w:rPr>
              <w:t>703</w:t>
            </w:r>
          </w:p>
        </w:tc>
      </w:tr>
      <w:tr w:rsidR="00B41FD4" w:rsidRPr="00C44F50" w:rsidTr="00C44F50">
        <w:trPr>
          <w:trHeight w:val="379"/>
        </w:trPr>
        <w:tc>
          <w:tcPr>
            <w:tcW w:w="1101" w:type="dxa"/>
          </w:tcPr>
          <w:p w:rsidR="00B41FD4" w:rsidRPr="00C44F50" w:rsidRDefault="00B41FD4" w:rsidP="00C44F50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44F50">
              <w:rPr>
                <w:rFonts w:ascii="Times New Roman" w:hAnsi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6696" w:type="dxa"/>
          </w:tcPr>
          <w:p w:rsidR="00B41FD4" w:rsidRPr="00C44F50" w:rsidRDefault="00B41FD4" w:rsidP="00C44F5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44F50">
              <w:rPr>
                <w:rFonts w:ascii="Times New Roman" w:hAnsi="Times New Roman"/>
                <w:sz w:val="28"/>
                <w:szCs w:val="28"/>
                <w:lang w:val="uk-UA"/>
              </w:rPr>
              <w:t>Перераховано постачальнику за придбані паливно-мастильні матеріали</w:t>
            </w:r>
          </w:p>
        </w:tc>
        <w:tc>
          <w:tcPr>
            <w:tcW w:w="1056" w:type="dxa"/>
          </w:tcPr>
          <w:p w:rsidR="00B41FD4" w:rsidRPr="00C44F50" w:rsidRDefault="00B41FD4" w:rsidP="00C44F50">
            <w:pPr>
              <w:spacing w:after="0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44F50">
              <w:rPr>
                <w:rFonts w:ascii="Times New Roman" w:hAnsi="Times New Roman"/>
                <w:sz w:val="28"/>
                <w:szCs w:val="28"/>
                <w:lang w:val="uk-UA"/>
              </w:rPr>
              <w:t>631, 685</w:t>
            </w:r>
          </w:p>
        </w:tc>
        <w:tc>
          <w:tcPr>
            <w:tcW w:w="894" w:type="dxa"/>
          </w:tcPr>
          <w:p w:rsidR="00B41FD4" w:rsidRPr="00C44F50" w:rsidRDefault="00B41FD4" w:rsidP="00C44F50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44F50">
              <w:rPr>
                <w:rFonts w:ascii="Times New Roman" w:hAnsi="Times New Roman"/>
                <w:sz w:val="28"/>
                <w:szCs w:val="28"/>
                <w:lang w:val="uk-UA"/>
              </w:rPr>
              <w:t>311</w:t>
            </w:r>
          </w:p>
        </w:tc>
      </w:tr>
    </w:tbl>
    <w:p w:rsidR="00B41FD4" w:rsidRDefault="00B41FD4" w:rsidP="0003695A">
      <w:pPr>
        <w:spacing w:line="360" w:lineRule="auto"/>
        <w:ind w:firstLine="708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B41FD4" w:rsidRPr="002C39EE" w:rsidRDefault="00B41FD4" w:rsidP="0003695A">
      <w:pPr>
        <w:spacing w:line="360" w:lineRule="auto"/>
        <w:ind w:firstLine="708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2C39EE">
        <w:rPr>
          <w:rFonts w:ascii="Times New Roman" w:hAnsi="Times New Roman"/>
          <w:b/>
          <w:sz w:val="28"/>
          <w:szCs w:val="28"/>
          <w:lang w:val="uk-UA"/>
        </w:rPr>
        <w:t>Висновки.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2C39EE">
        <w:rPr>
          <w:rFonts w:ascii="Times New Roman" w:hAnsi="Times New Roman"/>
          <w:sz w:val="28"/>
          <w:szCs w:val="28"/>
          <w:lang w:val="uk-UA"/>
        </w:rPr>
        <w:t xml:space="preserve">Виходячи з вище наведеного, можна сказати, що діяльність автотранспортного підприємства не пов'язана з сировиною, бо предметом його праці є вантаж. Однорідність виконуваних робіт, відсутність незавершеного виробництва з перевезення вантажів і пасажирів істотно спрощує розрахунки собівартості виконаних робіт. </w:t>
      </w:r>
      <w:r w:rsidRPr="002C39EE">
        <w:rPr>
          <w:rFonts w:ascii="Times New Roman" w:hAnsi="Times New Roman"/>
          <w:sz w:val="28"/>
          <w:szCs w:val="28"/>
        </w:rPr>
        <w:t>Облік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C39EE">
        <w:rPr>
          <w:rFonts w:ascii="Times New Roman" w:hAnsi="Times New Roman"/>
          <w:sz w:val="28"/>
          <w:szCs w:val="28"/>
        </w:rPr>
        <w:t>витрат на автомобільні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C39EE">
        <w:rPr>
          <w:rFonts w:ascii="Times New Roman" w:hAnsi="Times New Roman"/>
          <w:sz w:val="28"/>
          <w:szCs w:val="28"/>
        </w:rPr>
        <w:t>перевезення та послуги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C39EE">
        <w:rPr>
          <w:rFonts w:ascii="Times New Roman" w:hAnsi="Times New Roman"/>
          <w:sz w:val="28"/>
          <w:szCs w:val="28"/>
        </w:rPr>
        <w:t>здійснюється в цілому по транспортному процесу, без окрем</w:t>
      </w:r>
      <w:r w:rsidRPr="002C39EE">
        <w:rPr>
          <w:rFonts w:ascii="Times New Roman" w:hAnsi="Times New Roman"/>
          <w:sz w:val="28"/>
          <w:szCs w:val="28"/>
          <w:lang w:val="uk-UA"/>
        </w:rPr>
        <w:t>ого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C39EE">
        <w:rPr>
          <w:rFonts w:ascii="Times New Roman" w:hAnsi="Times New Roman"/>
          <w:sz w:val="28"/>
          <w:szCs w:val="28"/>
        </w:rPr>
        <w:t>їх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C39EE">
        <w:rPr>
          <w:rFonts w:ascii="Times New Roman" w:hAnsi="Times New Roman"/>
          <w:sz w:val="28"/>
          <w:szCs w:val="28"/>
        </w:rPr>
        <w:t>розподілу, тому на автомобільному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C39EE">
        <w:rPr>
          <w:rFonts w:ascii="Times New Roman" w:hAnsi="Times New Roman"/>
          <w:sz w:val="28"/>
          <w:szCs w:val="28"/>
        </w:rPr>
        <w:t>транспорті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C39EE">
        <w:rPr>
          <w:rFonts w:ascii="Times New Roman" w:hAnsi="Times New Roman"/>
          <w:sz w:val="28"/>
          <w:szCs w:val="28"/>
        </w:rPr>
        <w:t>застосовується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C39EE">
        <w:rPr>
          <w:rFonts w:ascii="Times New Roman" w:hAnsi="Times New Roman"/>
          <w:sz w:val="28"/>
          <w:szCs w:val="28"/>
        </w:rPr>
        <w:t>простий метод калькулювання</w:t>
      </w:r>
      <w:r w:rsidRPr="002C39EE">
        <w:rPr>
          <w:rFonts w:ascii="Times New Roman" w:hAnsi="Times New Roman"/>
          <w:sz w:val="28"/>
          <w:szCs w:val="28"/>
          <w:lang w:val="uk-UA"/>
        </w:rPr>
        <w:t>.</w:t>
      </w:r>
      <w:r>
        <w:rPr>
          <w:rFonts w:ascii="Times New Roman" w:hAnsi="Times New Roman"/>
          <w:sz w:val="28"/>
          <w:szCs w:val="28"/>
          <w:lang w:val="uk-UA"/>
        </w:rPr>
        <w:t xml:space="preserve"> За нашими дослідженнями, для спрощення ведення обліку витрат рекомендуємо для вітчизняних автотранспортних підприємств використовувати систему аналітичного обліку. Наприклад, 203.1 «Нафтопродукти», 203.2 «Тверде паливо», 203.3 «Газоподібне паливо», 203.4 «Інші види палива». У аналітичному рахунку 203.1.1 «Нафтопродукти на складі», підприємства, які мають приміщення для збереження паливно-мастильних матеріалів, обліковують наявність та рух усіх видів нафтопродуктів, що знаходяться на нафтоскладах, пунктах заправки, виробничих відділах, у відділеннях, бригадах, у ваговому та грошовому виразах.</w:t>
      </w:r>
    </w:p>
    <w:p w:rsidR="00B41FD4" w:rsidRPr="002C39EE" w:rsidRDefault="00B41FD4" w:rsidP="00655FE2">
      <w:pPr>
        <w:spacing w:line="360" w:lineRule="auto"/>
        <w:ind w:firstLine="709"/>
        <w:rPr>
          <w:rFonts w:ascii="Times New Roman" w:hAnsi="Times New Roman"/>
          <w:b/>
          <w:sz w:val="28"/>
          <w:szCs w:val="28"/>
          <w:lang w:val="uk-UA"/>
        </w:rPr>
      </w:pPr>
      <w:r w:rsidRPr="002C39EE">
        <w:rPr>
          <w:rFonts w:ascii="Times New Roman" w:hAnsi="Times New Roman"/>
          <w:b/>
          <w:sz w:val="28"/>
          <w:szCs w:val="28"/>
          <w:lang w:val="uk-UA"/>
        </w:rPr>
        <w:t>Література:</w:t>
      </w:r>
    </w:p>
    <w:p w:rsidR="00B41FD4" w:rsidRPr="002C39EE" w:rsidRDefault="00B41FD4" w:rsidP="00A256A8">
      <w:pPr>
        <w:pStyle w:val="ListParagraph"/>
        <w:numPr>
          <w:ilvl w:val="0"/>
          <w:numId w:val="1"/>
        </w:numPr>
        <w:spacing w:line="360" w:lineRule="auto"/>
        <w:ind w:left="426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2C39EE">
        <w:rPr>
          <w:rFonts w:ascii="Times New Roman" w:hAnsi="Times New Roman"/>
          <w:sz w:val="28"/>
          <w:szCs w:val="28"/>
          <w:lang w:val="uk-UA"/>
        </w:rPr>
        <w:t xml:space="preserve">Конституція України. – Електронний ресурс [Режим доступу: </w:t>
      </w:r>
      <w:hyperlink r:id="rId7" w:history="1">
        <w:r w:rsidRPr="002C39EE"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  <w:lang w:val="uk-UA"/>
          </w:rPr>
          <w:t>http://zakon0.rada.gov.ua/laws/show/254%D0%BA/96-%D0%B2%D1%80</w:t>
        </w:r>
      </w:hyperlink>
      <w:r w:rsidRPr="002C39EE">
        <w:rPr>
          <w:rFonts w:ascii="Times New Roman" w:hAnsi="Times New Roman"/>
          <w:sz w:val="28"/>
          <w:szCs w:val="28"/>
        </w:rPr>
        <w:t>]</w:t>
      </w:r>
      <w:r w:rsidRPr="002C39EE">
        <w:rPr>
          <w:rFonts w:ascii="Times New Roman" w:hAnsi="Times New Roman"/>
          <w:b/>
          <w:sz w:val="28"/>
          <w:szCs w:val="28"/>
          <w:lang w:val="uk-UA"/>
        </w:rPr>
        <w:t>.</w:t>
      </w:r>
    </w:p>
    <w:p w:rsidR="00B41FD4" w:rsidRPr="002C39EE" w:rsidRDefault="00B41FD4" w:rsidP="00F2756D">
      <w:pPr>
        <w:pStyle w:val="ListParagraph"/>
        <w:numPr>
          <w:ilvl w:val="0"/>
          <w:numId w:val="1"/>
        </w:numPr>
        <w:spacing w:line="360" w:lineRule="auto"/>
        <w:ind w:left="426"/>
        <w:jc w:val="both"/>
        <w:rPr>
          <w:rFonts w:ascii="Times New Roman" w:hAnsi="Times New Roman"/>
          <w:sz w:val="28"/>
          <w:szCs w:val="28"/>
          <w:lang w:val="uk-UA"/>
        </w:rPr>
      </w:pPr>
      <w:r w:rsidRPr="002C39EE">
        <w:rPr>
          <w:rFonts w:ascii="Times New Roman" w:hAnsi="Times New Roman"/>
          <w:sz w:val="28"/>
          <w:szCs w:val="28"/>
          <w:lang w:val="uk-UA"/>
        </w:rPr>
        <w:t xml:space="preserve">Господарський Кодекс України Електронний ресурс. – </w:t>
      </w:r>
      <w:r w:rsidRPr="002C39EE">
        <w:rPr>
          <w:rFonts w:ascii="Times New Roman" w:hAnsi="Times New Roman"/>
          <w:sz w:val="28"/>
          <w:szCs w:val="28"/>
        </w:rPr>
        <w:t>[</w:t>
      </w:r>
      <w:r w:rsidRPr="002C39EE">
        <w:rPr>
          <w:rFonts w:ascii="Times New Roman" w:hAnsi="Times New Roman"/>
          <w:sz w:val="28"/>
          <w:szCs w:val="28"/>
          <w:lang w:val="uk-UA"/>
        </w:rPr>
        <w:t xml:space="preserve">Режим доступу: </w:t>
      </w:r>
      <w:hyperlink r:id="rId8" w:history="1">
        <w:r w:rsidRPr="002C39EE"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  <w:lang w:val="uk-UA"/>
          </w:rPr>
          <w:t>http://zakon5.rada.gov.ua/laws/show/436-15</w:t>
        </w:r>
      </w:hyperlink>
      <w:r w:rsidRPr="002C39EE">
        <w:rPr>
          <w:rFonts w:ascii="Times New Roman" w:hAnsi="Times New Roman"/>
          <w:sz w:val="28"/>
          <w:szCs w:val="28"/>
        </w:rPr>
        <w:t>]</w:t>
      </w:r>
      <w:r w:rsidRPr="002C39EE">
        <w:rPr>
          <w:rFonts w:ascii="Times New Roman" w:hAnsi="Times New Roman"/>
          <w:b/>
          <w:sz w:val="28"/>
          <w:szCs w:val="28"/>
          <w:lang w:val="uk-UA"/>
        </w:rPr>
        <w:t>.</w:t>
      </w:r>
    </w:p>
    <w:p w:rsidR="00B41FD4" w:rsidRPr="002C39EE" w:rsidRDefault="00B41FD4" w:rsidP="00F2756D">
      <w:pPr>
        <w:pStyle w:val="ListParagraph"/>
        <w:numPr>
          <w:ilvl w:val="0"/>
          <w:numId w:val="1"/>
        </w:numPr>
        <w:spacing w:line="360" w:lineRule="auto"/>
        <w:ind w:left="426"/>
        <w:jc w:val="both"/>
        <w:rPr>
          <w:rFonts w:ascii="Times New Roman" w:hAnsi="Times New Roman"/>
          <w:sz w:val="28"/>
          <w:szCs w:val="28"/>
          <w:lang w:val="uk-UA"/>
        </w:rPr>
      </w:pPr>
      <w:r w:rsidRPr="002C39EE">
        <w:rPr>
          <w:rFonts w:ascii="Times New Roman" w:hAnsi="Times New Roman"/>
          <w:sz w:val="28"/>
          <w:szCs w:val="28"/>
          <w:lang w:val="uk-UA"/>
        </w:rPr>
        <w:t xml:space="preserve">Цивільний Кодекс України. – Електронний ресурс </w:t>
      </w:r>
      <w:r w:rsidRPr="002C39EE">
        <w:rPr>
          <w:rFonts w:ascii="Times New Roman" w:hAnsi="Times New Roman"/>
          <w:sz w:val="28"/>
          <w:szCs w:val="28"/>
        </w:rPr>
        <w:t>[</w:t>
      </w:r>
      <w:r w:rsidRPr="002C39EE">
        <w:rPr>
          <w:rFonts w:ascii="Times New Roman" w:hAnsi="Times New Roman"/>
          <w:sz w:val="28"/>
          <w:szCs w:val="28"/>
          <w:lang w:val="uk-UA"/>
        </w:rPr>
        <w:t xml:space="preserve">Режим доступу: </w:t>
      </w:r>
      <w:hyperlink r:id="rId9" w:history="1">
        <w:r w:rsidRPr="002C39EE"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  <w:lang w:val="uk-UA"/>
          </w:rPr>
          <w:t>http://zakon5.rada.gov.ua/laws/show/435-15</w:t>
        </w:r>
      </w:hyperlink>
      <w:r w:rsidRPr="002C39EE">
        <w:rPr>
          <w:rFonts w:ascii="Times New Roman" w:hAnsi="Times New Roman"/>
          <w:sz w:val="28"/>
          <w:szCs w:val="28"/>
        </w:rPr>
        <w:t>]</w:t>
      </w:r>
      <w:r w:rsidRPr="002C39EE"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:rsidR="00B41FD4" w:rsidRPr="002C39EE" w:rsidRDefault="00B41FD4" w:rsidP="00F2756D">
      <w:pPr>
        <w:pStyle w:val="ListParagraph"/>
        <w:numPr>
          <w:ilvl w:val="0"/>
          <w:numId w:val="1"/>
        </w:numPr>
        <w:spacing w:line="360" w:lineRule="auto"/>
        <w:ind w:left="426"/>
        <w:jc w:val="both"/>
        <w:rPr>
          <w:rFonts w:ascii="Times New Roman" w:hAnsi="Times New Roman"/>
          <w:sz w:val="28"/>
          <w:szCs w:val="28"/>
          <w:lang w:val="uk-UA"/>
        </w:rPr>
      </w:pPr>
      <w:r w:rsidRPr="002C39EE">
        <w:rPr>
          <w:rFonts w:ascii="Times New Roman" w:hAnsi="Times New Roman"/>
          <w:sz w:val="28"/>
          <w:szCs w:val="28"/>
          <w:lang w:val="uk-UA"/>
        </w:rPr>
        <w:t xml:space="preserve">Закон України «Про автомобільний транспорт». – Електронний ресурс </w:t>
      </w:r>
      <w:r w:rsidRPr="002C39EE">
        <w:rPr>
          <w:rFonts w:ascii="Times New Roman" w:hAnsi="Times New Roman"/>
          <w:sz w:val="28"/>
          <w:szCs w:val="28"/>
        </w:rPr>
        <w:t>[</w:t>
      </w:r>
      <w:r w:rsidRPr="002C39EE">
        <w:rPr>
          <w:rFonts w:ascii="Times New Roman" w:hAnsi="Times New Roman"/>
          <w:sz w:val="28"/>
          <w:szCs w:val="28"/>
          <w:lang w:val="uk-UA"/>
        </w:rPr>
        <w:t>Режим доступу: http://zakon3.rada.gov.ua/laws/show/2344-14</w:t>
      </w:r>
      <w:r w:rsidRPr="002C39EE">
        <w:rPr>
          <w:rFonts w:ascii="Times New Roman" w:hAnsi="Times New Roman"/>
          <w:sz w:val="28"/>
          <w:szCs w:val="28"/>
        </w:rPr>
        <w:t>].</w:t>
      </w:r>
    </w:p>
    <w:p w:rsidR="00B41FD4" w:rsidRPr="002C39EE" w:rsidRDefault="00B41FD4" w:rsidP="009223E5">
      <w:pPr>
        <w:pStyle w:val="ListParagraph"/>
        <w:numPr>
          <w:ilvl w:val="0"/>
          <w:numId w:val="1"/>
        </w:numPr>
        <w:spacing w:line="360" w:lineRule="auto"/>
        <w:ind w:left="426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Даньків Й.Я., Остап’юк М.</w:t>
      </w:r>
      <w:r w:rsidRPr="002C39EE">
        <w:rPr>
          <w:rFonts w:ascii="Times New Roman" w:hAnsi="Times New Roman"/>
          <w:sz w:val="28"/>
          <w:szCs w:val="28"/>
          <w:lang w:val="uk-UA"/>
        </w:rPr>
        <w:t>Я. Особливості діяльності автотранспортних підприємств та їх вплив на організацію обліку витрат і формування собівартості а</w:t>
      </w:r>
      <w:r>
        <w:rPr>
          <w:rFonts w:ascii="Times New Roman" w:hAnsi="Times New Roman"/>
          <w:sz w:val="28"/>
          <w:szCs w:val="28"/>
          <w:lang w:val="uk-UA"/>
        </w:rPr>
        <w:t>втотранспортних перевезень / Й.Я. Даньків, М.</w:t>
      </w:r>
      <w:r w:rsidRPr="002C39EE">
        <w:rPr>
          <w:rFonts w:ascii="Times New Roman" w:hAnsi="Times New Roman"/>
          <w:sz w:val="28"/>
          <w:szCs w:val="28"/>
          <w:lang w:val="uk-UA"/>
        </w:rPr>
        <w:t>Я. Остап’юк // Науковий вісник Мукачівського державного університету. – Випуск 1. (1). – Мукачево. – 2014. – с. 133-139.</w:t>
      </w:r>
    </w:p>
    <w:p w:rsidR="00B41FD4" w:rsidRPr="002C39EE" w:rsidRDefault="00B41FD4" w:rsidP="009223E5">
      <w:pPr>
        <w:pStyle w:val="ListParagraph"/>
        <w:numPr>
          <w:ilvl w:val="0"/>
          <w:numId w:val="1"/>
        </w:numPr>
        <w:spacing w:line="360" w:lineRule="auto"/>
        <w:ind w:left="426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Максімова В.</w:t>
      </w:r>
      <w:r w:rsidRPr="002C39EE">
        <w:rPr>
          <w:rFonts w:ascii="Times New Roman" w:hAnsi="Times New Roman"/>
          <w:sz w:val="28"/>
          <w:szCs w:val="28"/>
          <w:lang w:val="uk-UA"/>
        </w:rPr>
        <w:t>М. Облік діяльності АТП: навч. посіб. / В.М. Максімова. – Одеса: Одеський державний економічний університет. – 2011. – 184с.</w:t>
      </w:r>
    </w:p>
    <w:p w:rsidR="00B41FD4" w:rsidRPr="002C39EE" w:rsidRDefault="00B41FD4" w:rsidP="00EA0B5B">
      <w:pPr>
        <w:pStyle w:val="ListParagraph"/>
        <w:numPr>
          <w:ilvl w:val="0"/>
          <w:numId w:val="1"/>
        </w:numPr>
        <w:spacing w:line="360" w:lineRule="auto"/>
        <w:ind w:left="426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2C39EE">
        <w:rPr>
          <w:rFonts w:ascii="Times New Roman" w:hAnsi="Times New Roman"/>
          <w:sz w:val="28"/>
          <w:szCs w:val="28"/>
          <w:lang w:val="uk-UA"/>
        </w:rPr>
        <w:t xml:space="preserve">Бібліотека економіста. - Електронний ресурс </w:t>
      </w:r>
      <w:r w:rsidRPr="002C39EE">
        <w:rPr>
          <w:rFonts w:ascii="Times New Roman" w:hAnsi="Times New Roman"/>
          <w:sz w:val="28"/>
          <w:szCs w:val="28"/>
        </w:rPr>
        <w:t>[</w:t>
      </w:r>
      <w:r w:rsidRPr="002C39EE">
        <w:rPr>
          <w:rFonts w:ascii="Times New Roman" w:hAnsi="Times New Roman"/>
          <w:sz w:val="28"/>
          <w:szCs w:val="28"/>
          <w:lang w:val="uk-UA"/>
        </w:rPr>
        <w:t xml:space="preserve">Режим доступу: </w:t>
      </w:r>
      <w:hyperlink r:id="rId10" w:history="1">
        <w:r w:rsidRPr="002C39EE"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  <w:lang w:val="uk-UA"/>
          </w:rPr>
          <w:t>http://library.if.ua/</w:t>
        </w:r>
      </w:hyperlink>
      <w:r w:rsidRPr="002C39EE">
        <w:rPr>
          <w:rFonts w:ascii="Times New Roman" w:hAnsi="Times New Roman"/>
          <w:sz w:val="28"/>
          <w:szCs w:val="28"/>
        </w:rPr>
        <w:t>].</w:t>
      </w:r>
    </w:p>
    <w:p w:rsidR="00B41FD4" w:rsidRPr="002C39EE" w:rsidRDefault="00B41FD4" w:rsidP="00EA0B5B">
      <w:pPr>
        <w:pStyle w:val="ListParagraph"/>
        <w:numPr>
          <w:ilvl w:val="0"/>
          <w:numId w:val="1"/>
        </w:numPr>
        <w:spacing w:line="360" w:lineRule="auto"/>
        <w:ind w:left="426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Бикова Г. </w:t>
      </w:r>
      <w:r w:rsidRPr="002C39EE">
        <w:rPr>
          <w:rFonts w:ascii="Times New Roman" w:hAnsi="Times New Roman"/>
          <w:sz w:val="28"/>
          <w:szCs w:val="28"/>
        </w:rPr>
        <w:t>Облік ПММ на АТП</w:t>
      </w:r>
      <w:r w:rsidRPr="002C39EE">
        <w:rPr>
          <w:rFonts w:ascii="Times New Roman" w:hAnsi="Times New Roman"/>
          <w:sz w:val="28"/>
          <w:szCs w:val="28"/>
          <w:lang w:val="uk-UA"/>
        </w:rPr>
        <w:t xml:space="preserve"> / Г. Бикова // Дебет-Кредит. – № 37. – 2015. </w:t>
      </w:r>
    </w:p>
    <w:p w:rsidR="00B41FD4" w:rsidRDefault="00B41FD4" w:rsidP="002978B8">
      <w:pPr>
        <w:jc w:val="right"/>
        <w:rPr>
          <w:rFonts w:ascii="Times New Roman" w:hAnsi="Times New Roman"/>
          <w:b/>
          <w:sz w:val="28"/>
          <w:szCs w:val="28"/>
          <w:lang w:val="uk-UA"/>
        </w:rPr>
      </w:pPr>
    </w:p>
    <w:p w:rsidR="00B41FD4" w:rsidRDefault="00B41FD4" w:rsidP="002978B8">
      <w:pPr>
        <w:jc w:val="right"/>
        <w:rPr>
          <w:rFonts w:ascii="Times New Roman" w:hAnsi="Times New Roman"/>
          <w:sz w:val="28"/>
          <w:szCs w:val="28"/>
          <w:lang w:val="uk-UA"/>
        </w:rPr>
      </w:pPr>
      <w:r w:rsidRPr="002C39EE">
        <w:rPr>
          <w:rFonts w:ascii="Times New Roman" w:hAnsi="Times New Roman"/>
          <w:b/>
          <w:sz w:val="28"/>
          <w:szCs w:val="28"/>
        </w:rPr>
        <w:t>Науковий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2C39EE">
        <w:rPr>
          <w:rFonts w:ascii="Times New Roman" w:hAnsi="Times New Roman"/>
          <w:b/>
          <w:sz w:val="28"/>
          <w:szCs w:val="28"/>
        </w:rPr>
        <w:t>керівник</w:t>
      </w:r>
      <w:r w:rsidRPr="002C39EE">
        <w:rPr>
          <w:rFonts w:ascii="Times New Roman" w:hAnsi="Times New Roman"/>
          <w:sz w:val="28"/>
          <w:szCs w:val="28"/>
        </w:rPr>
        <w:t>:</w:t>
      </w:r>
    </w:p>
    <w:p w:rsidR="00B41FD4" w:rsidRDefault="00B41FD4" w:rsidP="002978B8">
      <w:pPr>
        <w:jc w:val="right"/>
        <w:rPr>
          <w:rFonts w:ascii="Times New Roman" w:hAnsi="Times New Roman"/>
          <w:sz w:val="28"/>
          <w:szCs w:val="28"/>
          <w:lang w:val="uk-UA"/>
        </w:rPr>
      </w:pPr>
      <w:r w:rsidRPr="002C39EE">
        <w:rPr>
          <w:rFonts w:ascii="Times New Roman" w:hAnsi="Times New Roman"/>
          <w:sz w:val="28"/>
          <w:szCs w:val="28"/>
        </w:rPr>
        <w:t xml:space="preserve"> к</w:t>
      </w:r>
      <w:r>
        <w:rPr>
          <w:rFonts w:ascii="Times New Roman" w:hAnsi="Times New Roman"/>
          <w:sz w:val="28"/>
          <w:szCs w:val="28"/>
          <w:lang w:val="uk-UA"/>
        </w:rPr>
        <w:t xml:space="preserve">андидат </w:t>
      </w:r>
      <w:r w:rsidRPr="002C39EE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  <w:lang w:val="uk-UA"/>
        </w:rPr>
        <w:t xml:space="preserve">кономічних </w:t>
      </w:r>
      <w:r w:rsidRPr="002C39EE"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  <w:lang w:val="uk-UA"/>
        </w:rPr>
        <w:t>аук</w:t>
      </w:r>
      <w:r w:rsidRPr="002C39EE">
        <w:rPr>
          <w:rFonts w:ascii="Times New Roman" w:hAnsi="Times New Roman"/>
          <w:sz w:val="28"/>
          <w:szCs w:val="28"/>
        </w:rPr>
        <w:t>, доцент Поліщук</w:t>
      </w:r>
      <w:r w:rsidRPr="002C39EE">
        <w:rPr>
          <w:rFonts w:ascii="Times New Roman" w:hAnsi="Times New Roman"/>
          <w:sz w:val="28"/>
          <w:szCs w:val="28"/>
          <w:lang w:val="uk-UA"/>
        </w:rPr>
        <w:t xml:space="preserve"> О.Т.</w:t>
      </w:r>
    </w:p>
    <w:p w:rsidR="00B41FD4" w:rsidRDefault="00B41FD4" w:rsidP="00B500A8">
      <w:pPr>
        <w:jc w:val="right"/>
        <w:rPr>
          <w:rFonts w:ascii="Times New Roman" w:hAnsi="Times New Roman"/>
          <w:b/>
          <w:sz w:val="28"/>
          <w:szCs w:val="28"/>
          <w:lang w:val="uk-UA"/>
        </w:rPr>
      </w:pPr>
      <w:bookmarkStart w:id="0" w:name="_GoBack"/>
      <w:bookmarkEnd w:id="0"/>
    </w:p>
    <w:sectPr w:rsidR="00B41FD4" w:rsidSect="006D7E66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41FD4" w:rsidRDefault="00B41FD4" w:rsidP="003F5A34">
      <w:pPr>
        <w:spacing w:after="0" w:line="240" w:lineRule="auto"/>
      </w:pPr>
      <w:r>
        <w:separator/>
      </w:r>
    </w:p>
  </w:endnote>
  <w:endnote w:type="continuationSeparator" w:id="1">
    <w:p w:rsidR="00B41FD4" w:rsidRDefault="00B41FD4" w:rsidP="003F5A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41FD4" w:rsidRDefault="00B41FD4" w:rsidP="003F5A34">
      <w:pPr>
        <w:spacing w:after="0" w:line="240" w:lineRule="auto"/>
      </w:pPr>
      <w:r>
        <w:separator/>
      </w:r>
    </w:p>
  </w:footnote>
  <w:footnote w:type="continuationSeparator" w:id="1">
    <w:p w:rsidR="00B41FD4" w:rsidRDefault="00B41FD4" w:rsidP="003F5A3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137CC"/>
    <w:multiLevelType w:val="hybridMultilevel"/>
    <w:tmpl w:val="8626FB84"/>
    <w:lvl w:ilvl="0" w:tplc="FE7A4FB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43F1739"/>
    <w:multiLevelType w:val="hybridMultilevel"/>
    <w:tmpl w:val="9796CD28"/>
    <w:lvl w:ilvl="0" w:tplc="FE7A4FB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38B86A36">
      <w:start w:val="1"/>
      <w:numFmt w:val="bullet"/>
      <w:lvlText w:val="·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9EA744A"/>
    <w:multiLevelType w:val="hybridMultilevel"/>
    <w:tmpl w:val="FAA4F72A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">
    <w:nsid w:val="0E6F691B"/>
    <w:multiLevelType w:val="hybridMultilevel"/>
    <w:tmpl w:val="78DCFE78"/>
    <w:lvl w:ilvl="0" w:tplc="B3404842">
      <w:start w:val="1"/>
      <w:numFmt w:val="decimal"/>
      <w:lvlText w:val="%1."/>
      <w:lvlJc w:val="left"/>
      <w:pPr>
        <w:ind w:left="2345" w:hanging="360"/>
      </w:pPr>
      <w:rPr>
        <w:rFonts w:cs="Times New Roman"/>
        <w:b w:val="0"/>
      </w:rPr>
    </w:lvl>
    <w:lvl w:ilvl="1" w:tplc="0419000F">
      <w:start w:val="1"/>
      <w:numFmt w:val="decimal"/>
      <w:lvlText w:val="%2."/>
      <w:lvlJc w:val="left"/>
      <w:pPr>
        <w:ind w:left="21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4">
    <w:nsid w:val="2E814203"/>
    <w:multiLevelType w:val="hybridMultilevel"/>
    <w:tmpl w:val="5E9C1DEE"/>
    <w:lvl w:ilvl="0" w:tplc="FE7A4FB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8CF1CF6"/>
    <w:multiLevelType w:val="hybridMultilevel"/>
    <w:tmpl w:val="5AA0469E"/>
    <w:lvl w:ilvl="0" w:tplc="FE7A4FBC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>
    <w:nsid w:val="4F153188"/>
    <w:multiLevelType w:val="hybridMultilevel"/>
    <w:tmpl w:val="B9E89516"/>
    <w:lvl w:ilvl="0" w:tplc="FE7A4FBC">
      <w:start w:val="1"/>
      <w:numFmt w:val="bullet"/>
      <w:lvlText w:val=""/>
      <w:lvlJc w:val="left"/>
      <w:pPr>
        <w:ind w:left="21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>
    <w:nsid w:val="62134DCD"/>
    <w:multiLevelType w:val="hybridMultilevel"/>
    <w:tmpl w:val="06288962"/>
    <w:lvl w:ilvl="0" w:tplc="C18C9C3A">
      <w:start w:val="203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>
    <w:nsid w:val="683B5B43"/>
    <w:multiLevelType w:val="hybridMultilevel"/>
    <w:tmpl w:val="1A7434A2"/>
    <w:lvl w:ilvl="0" w:tplc="B3404842">
      <w:start w:val="1"/>
      <w:numFmt w:val="decimal"/>
      <w:lvlText w:val="%1."/>
      <w:lvlJc w:val="left"/>
      <w:pPr>
        <w:ind w:left="1637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235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07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79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51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23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95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67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397" w:hanging="180"/>
      </w:pPr>
      <w:rPr>
        <w:rFonts w:cs="Times New Roman"/>
      </w:rPr>
    </w:lvl>
  </w:abstractNum>
  <w:abstractNum w:abstractNumId="9">
    <w:nsid w:val="75CB4C7B"/>
    <w:multiLevelType w:val="hybridMultilevel"/>
    <w:tmpl w:val="BD8EA30A"/>
    <w:lvl w:ilvl="0" w:tplc="FE7A4FBC">
      <w:start w:val="1"/>
      <w:numFmt w:val="bullet"/>
      <w:lvlText w:val="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">
    <w:nsid w:val="79674753"/>
    <w:multiLevelType w:val="hybridMultilevel"/>
    <w:tmpl w:val="D8D87A3E"/>
    <w:lvl w:ilvl="0" w:tplc="FE7A4FB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0"/>
  </w:num>
  <w:num w:numId="3">
    <w:abstractNumId w:val="5"/>
  </w:num>
  <w:num w:numId="4">
    <w:abstractNumId w:val="1"/>
  </w:num>
  <w:num w:numId="5">
    <w:abstractNumId w:val="4"/>
  </w:num>
  <w:num w:numId="6">
    <w:abstractNumId w:val="6"/>
  </w:num>
  <w:num w:numId="7">
    <w:abstractNumId w:val="3"/>
  </w:num>
  <w:num w:numId="8">
    <w:abstractNumId w:val="2"/>
  </w:num>
  <w:num w:numId="9">
    <w:abstractNumId w:val="9"/>
  </w:num>
  <w:num w:numId="10">
    <w:abstractNumId w:val="10"/>
  </w:num>
  <w:num w:numId="11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03D8F"/>
    <w:rsid w:val="000041A9"/>
    <w:rsid w:val="000061AF"/>
    <w:rsid w:val="00007876"/>
    <w:rsid w:val="00014695"/>
    <w:rsid w:val="0003695A"/>
    <w:rsid w:val="000D40E8"/>
    <w:rsid w:val="000D5396"/>
    <w:rsid w:val="00120726"/>
    <w:rsid w:val="00155161"/>
    <w:rsid w:val="0016757B"/>
    <w:rsid w:val="001A6626"/>
    <w:rsid w:val="00240430"/>
    <w:rsid w:val="002978B8"/>
    <w:rsid w:val="002C39EE"/>
    <w:rsid w:val="002D6AB5"/>
    <w:rsid w:val="002E2155"/>
    <w:rsid w:val="00310687"/>
    <w:rsid w:val="003131B2"/>
    <w:rsid w:val="00324A16"/>
    <w:rsid w:val="00350080"/>
    <w:rsid w:val="00360045"/>
    <w:rsid w:val="0037399D"/>
    <w:rsid w:val="0039436B"/>
    <w:rsid w:val="003B3EF0"/>
    <w:rsid w:val="003E3DA4"/>
    <w:rsid w:val="003F5A34"/>
    <w:rsid w:val="00404F21"/>
    <w:rsid w:val="00430D7A"/>
    <w:rsid w:val="0043520D"/>
    <w:rsid w:val="0045154F"/>
    <w:rsid w:val="0046192B"/>
    <w:rsid w:val="004647D2"/>
    <w:rsid w:val="00482749"/>
    <w:rsid w:val="00507F69"/>
    <w:rsid w:val="00534E67"/>
    <w:rsid w:val="00536CB5"/>
    <w:rsid w:val="00542C4A"/>
    <w:rsid w:val="00597B60"/>
    <w:rsid w:val="005A246D"/>
    <w:rsid w:val="005D13E6"/>
    <w:rsid w:val="005F7855"/>
    <w:rsid w:val="00605037"/>
    <w:rsid w:val="00655FE2"/>
    <w:rsid w:val="00675E80"/>
    <w:rsid w:val="006D7E66"/>
    <w:rsid w:val="006F2F6C"/>
    <w:rsid w:val="007708D6"/>
    <w:rsid w:val="007B5851"/>
    <w:rsid w:val="007E4F69"/>
    <w:rsid w:val="007F3582"/>
    <w:rsid w:val="00845B72"/>
    <w:rsid w:val="00873399"/>
    <w:rsid w:val="00890678"/>
    <w:rsid w:val="008A7F10"/>
    <w:rsid w:val="008D33DF"/>
    <w:rsid w:val="008E00D5"/>
    <w:rsid w:val="008E6740"/>
    <w:rsid w:val="00904E3E"/>
    <w:rsid w:val="009223E5"/>
    <w:rsid w:val="009C6E21"/>
    <w:rsid w:val="00A0014C"/>
    <w:rsid w:val="00A256A8"/>
    <w:rsid w:val="00A762D9"/>
    <w:rsid w:val="00AA0AF8"/>
    <w:rsid w:val="00AA2883"/>
    <w:rsid w:val="00AB4317"/>
    <w:rsid w:val="00B41FD4"/>
    <w:rsid w:val="00B42ECE"/>
    <w:rsid w:val="00B500A8"/>
    <w:rsid w:val="00B66B17"/>
    <w:rsid w:val="00BD494D"/>
    <w:rsid w:val="00BD49B0"/>
    <w:rsid w:val="00BE3E19"/>
    <w:rsid w:val="00C33780"/>
    <w:rsid w:val="00C44F50"/>
    <w:rsid w:val="00C57015"/>
    <w:rsid w:val="00C846E9"/>
    <w:rsid w:val="00CB1D37"/>
    <w:rsid w:val="00CB3792"/>
    <w:rsid w:val="00CB528C"/>
    <w:rsid w:val="00CC1B96"/>
    <w:rsid w:val="00CD6EA9"/>
    <w:rsid w:val="00D03D3E"/>
    <w:rsid w:val="00D40211"/>
    <w:rsid w:val="00D44780"/>
    <w:rsid w:val="00D73AEC"/>
    <w:rsid w:val="00DD785E"/>
    <w:rsid w:val="00DE1861"/>
    <w:rsid w:val="00E03D8F"/>
    <w:rsid w:val="00E17DF2"/>
    <w:rsid w:val="00E6371B"/>
    <w:rsid w:val="00E739B8"/>
    <w:rsid w:val="00E77407"/>
    <w:rsid w:val="00EA0B5B"/>
    <w:rsid w:val="00F2756D"/>
    <w:rsid w:val="00F40BA9"/>
    <w:rsid w:val="00F44A7B"/>
    <w:rsid w:val="00F46FE3"/>
    <w:rsid w:val="00F47753"/>
    <w:rsid w:val="00F60814"/>
    <w:rsid w:val="00F61E61"/>
    <w:rsid w:val="00F8358C"/>
    <w:rsid w:val="00F871C7"/>
    <w:rsid w:val="00FB3E42"/>
    <w:rsid w:val="00FD05BA"/>
    <w:rsid w:val="00FD0763"/>
    <w:rsid w:val="00FD59F2"/>
    <w:rsid w:val="00FE69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33DF"/>
    <w:pPr>
      <w:spacing w:after="200" w:line="276" w:lineRule="auto"/>
    </w:pPr>
    <w:rPr>
      <w:lang w:val="ru-RU" w:eastAsia="en-US"/>
    </w:rPr>
  </w:style>
  <w:style w:type="paragraph" w:styleId="Heading1">
    <w:name w:val="heading 1"/>
    <w:basedOn w:val="Normal"/>
    <w:link w:val="Heading1Char"/>
    <w:uiPriority w:val="99"/>
    <w:qFormat/>
    <w:rsid w:val="00EA0B5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EA0B5B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paragraph" w:styleId="ListParagraph">
    <w:name w:val="List Paragraph"/>
    <w:basedOn w:val="Normal"/>
    <w:uiPriority w:val="99"/>
    <w:qFormat/>
    <w:rsid w:val="009223E5"/>
    <w:pPr>
      <w:ind w:left="720"/>
      <w:contextualSpacing/>
    </w:pPr>
  </w:style>
  <w:style w:type="character" w:styleId="Hyperlink">
    <w:name w:val="Hyperlink"/>
    <w:basedOn w:val="DefaultParagraphFont"/>
    <w:uiPriority w:val="99"/>
    <w:rsid w:val="00F2756D"/>
    <w:rPr>
      <w:rFonts w:cs="Times New Roman"/>
      <w:color w:val="0000FF"/>
      <w:u w:val="single"/>
    </w:rPr>
  </w:style>
  <w:style w:type="table" w:styleId="TableGrid">
    <w:name w:val="Table Grid"/>
    <w:basedOn w:val="TableNormal"/>
    <w:uiPriority w:val="99"/>
    <w:rsid w:val="0012072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3F5A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3F5A34"/>
    <w:rPr>
      <w:rFonts w:cs="Times New Roman"/>
    </w:rPr>
  </w:style>
  <w:style w:type="paragraph" w:styleId="Footer">
    <w:name w:val="footer"/>
    <w:basedOn w:val="Normal"/>
    <w:link w:val="FooterChar"/>
    <w:uiPriority w:val="99"/>
    <w:rsid w:val="003F5A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3F5A34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BD49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D49B0"/>
    <w:rPr>
      <w:rFonts w:ascii="Tahoma" w:hAnsi="Tahoma" w:cs="Tahoma"/>
      <w:sz w:val="16"/>
      <w:szCs w:val="16"/>
    </w:rPr>
  </w:style>
  <w:style w:type="table" w:styleId="LightShading-Accent5">
    <w:name w:val="Light Shading Accent 5"/>
    <w:basedOn w:val="TableNormal"/>
    <w:uiPriority w:val="99"/>
    <w:rsid w:val="00CB528C"/>
    <w:rPr>
      <w:color w:val="31849B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BACC6"/>
        <w:bottom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LightGrid-Accent1">
    <w:name w:val="Light Grid Accent 1"/>
    <w:basedOn w:val="TableNormal"/>
    <w:uiPriority w:val="99"/>
    <w:rsid w:val="005D13E6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ascii="Times New Roman" w:eastAsia="Times New Roman" w:hAnsi="Times New Roman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/>
      </w:pPr>
      <w:rPr>
        <w:rFonts w:ascii="Times New Roman" w:eastAsia="Times New Roman" w:hAnsi="Times New Roman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Times New Roman" w:eastAsia="Times New Roman" w:hAnsi="Times New Roman" w:cs="Times New Roman"/>
        <w:b/>
        <w:bCs/>
      </w:rPr>
    </w:tblStylePr>
    <w:tblStylePr w:type="lastCol">
      <w:rPr>
        <w:rFonts w:ascii="Times New Roman" w:eastAsia="Times New Roman" w:hAnsi="Times New Roman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LightShading-Accent1">
    <w:name w:val="Light Shading Accent 1"/>
    <w:basedOn w:val="TableNormal"/>
    <w:uiPriority w:val="99"/>
    <w:rsid w:val="005D13E6"/>
    <w:rPr>
      <w:color w:val="365F9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LightList-Accent1">
    <w:name w:val="Light List Accent 1"/>
    <w:basedOn w:val="TableNormal"/>
    <w:uiPriority w:val="99"/>
    <w:rsid w:val="005D13E6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paragraph" w:styleId="BodyTextIndent">
    <w:name w:val="Body Text Indent"/>
    <w:basedOn w:val="Normal"/>
    <w:link w:val="BodyTextIndentChar"/>
    <w:uiPriority w:val="99"/>
    <w:rsid w:val="00A762D9"/>
    <w:pPr>
      <w:shd w:val="clear" w:color="auto" w:fill="FFFFFF"/>
      <w:spacing w:after="0" w:line="413" w:lineRule="exact"/>
      <w:ind w:left="900"/>
    </w:pPr>
    <w:rPr>
      <w:rFonts w:ascii="Times New Roman" w:eastAsia="Times New Roman" w:hAnsi="Times New Roman"/>
      <w:color w:val="000000"/>
      <w:spacing w:val="-4"/>
      <w:sz w:val="24"/>
      <w:szCs w:val="24"/>
      <w:lang w:val="uk-UA" w:eastAsia="ru-RU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A762D9"/>
    <w:rPr>
      <w:rFonts w:ascii="Times New Roman" w:hAnsi="Times New Roman" w:cs="Times New Roman"/>
      <w:color w:val="000000"/>
      <w:spacing w:val="-4"/>
      <w:sz w:val="24"/>
      <w:szCs w:val="24"/>
      <w:shd w:val="clear" w:color="auto" w:fill="FFFFFF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9072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072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kon5.rada.gov.ua/laws/show/436-15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zakon0.rada.gov.ua/laws/show/254%D0%BA/96-%D0%B2%D1%80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://library.if.ua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zakon5.rada.gov.ua/laws/show/435-15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</TotalTime>
  <Pages>7</Pages>
  <Words>6615</Words>
  <Characters>3772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Юля</dc:creator>
  <cp:keywords/>
  <dc:description/>
  <cp:lastModifiedBy>Admin</cp:lastModifiedBy>
  <cp:revision>3</cp:revision>
  <cp:lastPrinted>2015-11-16T21:44:00Z</cp:lastPrinted>
  <dcterms:created xsi:type="dcterms:W3CDTF">2015-12-29T12:11:00Z</dcterms:created>
  <dcterms:modified xsi:type="dcterms:W3CDTF">2015-12-29T13:12:00Z</dcterms:modified>
</cp:coreProperties>
</file>