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EF" w:rsidRPr="00976CDB" w:rsidRDefault="00D91AEF" w:rsidP="00AF7CA8">
      <w:pPr>
        <w:shd w:val="clear" w:color="auto" w:fill="FFFFFF"/>
        <w:spacing w:line="360" w:lineRule="auto"/>
        <w:ind w:firstLine="567"/>
        <w:contextualSpacing/>
        <w:jc w:val="right"/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</w:pPr>
      <w:r w:rsidRPr="00976CDB"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  <w:t>Юлія Нікіфорчук</w:t>
      </w:r>
    </w:p>
    <w:p w:rsidR="00D91AEF" w:rsidRPr="00976CDB" w:rsidRDefault="00D91AEF" w:rsidP="00AF7CA8">
      <w:pPr>
        <w:shd w:val="clear" w:color="auto" w:fill="FFFFFF"/>
        <w:spacing w:line="360" w:lineRule="auto"/>
        <w:ind w:firstLine="567"/>
        <w:contextualSpacing/>
        <w:jc w:val="right"/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</w:pPr>
      <w:r w:rsidRPr="00976CDB">
        <w:rPr>
          <w:rStyle w:val="apple-style-span"/>
          <w:b/>
          <w:color w:val="000000"/>
          <w:sz w:val="28"/>
          <w:szCs w:val="28"/>
          <w:shd w:val="clear" w:color="auto" w:fill="FFFFFF"/>
          <w:lang w:val="uk-UA"/>
        </w:rPr>
        <w:t>(Вінниця, Україна)</w:t>
      </w:r>
    </w:p>
    <w:p w:rsidR="00D91AEF" w:rsidRPr="006F74DD" w:rsidRDefault="00D91AEF" w:rsidP="00AF7CA8">
      <w:pPr>
        <w:shd w:val="clear" w:color="auto" w:fill="FFFFFF"/>
        <w:spacing w:line="360" w:lineRule="auto"/>
        <w:ind w:firstLine="567"/>
        <w:contextualSpacing/>
        <w:jc w:val="right"/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</w:pPr>
    </w:p>
    <w:p w:rsidR="00D91AEF" w:rsidRPr="006F74DD" w:rsidRDefault="00D91AEF" w:rsidP="00976CDB">
      <w:pPr>
        <w:spacing w:line="360" w:lineRule="auto"/>
        <w:ind w:right="-6"/>
        <w:jc w:val="center"/>
        <w:rPr>
          <w:b/>
          <w:color w:val="000000"/>
          <w:spacing w:val="-8"/>
          <w:sz w:val="28"/>
          <w:szCs w:val="28"/>
          <w:lang w:val="uk-UA"/>
        </w:rPr>
      </w:pPr>
      <w:r w:rsidRPr="006F74DD">
        <w:rPr>
          <w:b/>
          <w:color w:val="000000"/>
          <w:spacing w:val="-8"/>
          <w:sz w:val="28"/>
          <w:szCs w:val="28"/>
          <w:lang w:val="uk-UA"/>
        </w:rPr>
        <w:t>О</w:t>
      </w:r>
      <w:r>
        <w:rPr>
          <w:b/>
          <w:color w:val="000000"/>
          <w:spacing w:val="-8"/>
          <w:sz w:val="28"/>
          <w:szCs w:val="28"/>
          <w:lang w:val="uk-UA"/>
        </w:rPr>
        <w:t>БЛІКОВЕ ЗАБЕЗПЕЧЕННЯ АНАЛІЗУ І КОНТРОЛЮ ФІНАНСОВИХ РЕ</w:t>
      </w:r>
      <w:bookmarkStart w:id="0" w:name="_GoBack"/>
      <w:bookmarkEnd w:id="0"/>
      <w:r>
        <w:rPr>
          <w:b/>
          <w:color w:val="000000"/>
          <w:spacing w:val="-8"/>
          <w:sz w:val="28"/>
          <w:szCs w:val="28"/>
          <w:lang w:val="uk-UA"/>
        </w:rPr>
        <w:t xml:space="preserve">СУРСІВ БЮДЖЕТНИХ УСТАНОВ </w:t>
      </w:r>
    </w:p>
    <w:p w:rsidR="00D91AEF" w:rsidRPr="006F74DD" w:rsidRDefault="00D91AEF" w:rsidP="00AF7CA8">
      <w:pPr>
        <w:spacing w:line="360" w:lineRule="auto"/>
        <w:ind w:right="-5" w:firstLine="567"/>
        <w:jc w:val="center"/>
        <w:rPr>
          <w:b/>
          <w:color w:val="000000"/>
          <w:spacing w:val="-8"/>
          <w:sz w:val="28"/>
          <w:szCs w:val="28"/>
          <w:lang w:val="uk-UA"/>
        </w:rPr>
      </w:pPr>
    </w:p>
    <w:p w:rsidR="00D91AEF" w:rsidRPr="006F74DD" w:rsidRDefault="00D91AEF" w:rsidP="005D5767">
      <w:pPr>
        <w:shd w:val="clear" w:color="auto" w:fill="FFFFFF"/>
        <w:tabs>
          <w:tab w:val="left" w:pos="427"/>
          <w:tab w:val="left" w:pos="9355"/>
        </w:tabs>
        <w:spacing w:line="360" w:lineRule="auto"/>
        <w:ind w:right="-5" w:firstLine="709"/>
        <w:jc w:val="both"/>
        <w:outlineLvl w:val="0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 xml:space="preserve">В умовах бюджетного дефіциту та жорсткого обмеження фінансових ресурсів держави контроль за їх цільовим та ефективним використанням набуває особливого значення. Нестабільна політична ситуація в Україні, можливість та наявна практика неоднозначного трактування законодавчих актів, недосконалість нормативно-правового забезпечення певних напрямів діяльності є сприятливим підґрунтям для різного роду зловживань в сфері використання бюджетних коштів. Попередження, виявлення та ліквідацію таких порушень покликана забезпечувати система державного фінансового контролю та аналізу. </w:t>
      </w:r>
      <w:r w:rsidRPr="006F74DD">
        <w:rPr>
          <w:iCs/>
          <w:sz w:val="28"/>
          <w:szCs w:val="28"/>
          <w:lang w:val="uk-UA"/>
        </w:rPr>
        <w:t>Особливої уваги в складі цієї системи потребує контроль господарської діяльності бюджетних установ, оскільки</w:t>
      </w:r>
      <w:r w:rsidRPr="006F74DD">
        <w:rPr>
          <w:sz w:val="28"/>
          <w:szCs w:val="28"/>
          <w:lang w:val="uk-UA"/>
        </w:rPr>
        <w:t xml:space="preserve"> функціонування чисельної їх кількості в Україні у нових економічних умовах вимагає збалансованого, цільового та максимально ефективного використання фінансових ресурсів.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40"/>
          <w:szCs w:val="28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 xml:space="preserve">Фінансування бюджетних установ обумовлює необхідність застосування уніфікованої методики обліку </w:t>
      </w:r>
      <w:r>
        <w:rPr>
          <w:rFonts w:eastAsia="TimesNewRomanPSMT"/>
          <w:sz w:val="28"/>
          <w:szCs w:val="20"/>
          <w:lang w:val="uk-UA"/>
        </w:rPr>
        <w:t xml:space="preserve">та </w:t>
      </w:r>
      <w:r w:rsidRPr="006F74DD">
        <w:rPr>
          <w:rFonts w:eastAsia="TimesNewRomanPSMT"/>
          <w:sz w:val="28"/>
          <w:szCs w:val="20"/>
          <w:lang w:val="uk-UA"/>
        </w:rPr>
        <w:t>аналізу використання бюджетних коштів. Це, у свою чергу, потребує комплексного вивчення ефективності реалізації бюджетних асигнувань на забезпечення господарської діяльності юридичних осіб – одержувачів бюджетних коштів у рамках затвердженого кошторису. Обсяг передбачуваних витрат згідно з кошторисами закріплюється в бюджетах, які приймаються на відповідних рівнях.</w:t>
      </w:r>
    </w:p>
    <w:p w:rsidR="00D91AEF" w:rsidRPr="006F74DD" w:rsidRDefault="00D91AEF" w:rsidP="005D5767">
      <w:pPr>
        <w:shd w:val="clear" w:color="auto" w:fill="FFFFFF"/>
        <w:tabs>
          <w:tab w:val="left" w:pos="427"/>
          <w:tab w:val="left" w:pos="9355"/>
        </w:tabs>
        <w:spacing w:line="360" w:lineRule="auto"/>
        <w:ind w:right="-5" w:firstLine="709"/>
        <w:jc w:val="both"/>
        <w:outlineLvl w:val="0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Проблеми облікового забезпечення аналізу і контролю фінансового забезпечення бюджетних установ посідають чільне місце у працях так</w:t>
      </w:r>
      <w:r>
        <w:rPr>
          <w:sz w:val="28"/>
          <w:szCs w:val="28"/>
          <w:lang w:val="uk-UA"/>
        </w:rPr>
        <w:t xml:space="preserve">их вітчизняних науковців, як </w:t>
      </w:r>
      <w:r w:rsidRPr="006F74DD">
        <w:rPr>
          <w:sz w:val="28"/>
          <w:szCs w:val="28"/>
          <w:lang w:val="uk-UA"/>
        </w:rPr>
        <w:t>Буковинський</w:t>
      </w:r>
      <w:r>
        <w:rPr>
          <w:sz w:val="28"/>
          <w:szCs w:val="28"/>
          <w:lang w:val="uk-UA"/>
        </w:rPr>
        <w:t>С.</w:t>
      </w:r>
      <w:r w:rsidRPr="006F74DD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 xml:space="preserve">, </w:t>
      </w:r>
      <w:r w:rsidRPr="006F74DD">
        <w:rPr>
          <w:sz w:val="28"/>
          <w:szCs w:val="28"/>
          <w:lang w:val="uk-UA"/>
        </w:rPr>
        <w:t>Кириленко</w:t>
      </w:r>
      <w:r>
        <w:rPr>
          <w:sz w:val="28"/>
          <w:szCs w:val="28"/>
          <w:lang w:val="uk-UA"/>
        </w:rPr>
        <w:t>О.</w:t>
      </w:r>
      <w:r w:rsidRPr="006F74DD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, </w:t>
      </w:r>
      <w:r w:rsidRPr="006F74DD">
        <w:rPr>
          <w:sz w:val="28"/>
          <w:szCs w:val="28"/>
          <w:lang w:val="uk-UA"/>
        </w:rPr>
        <w:t>Опарін</w:t>
      </w:r>
      <w:r>
        <w:rPr>
          <w:sz w:val="28"/>
          <w:szCs w:val="28"/>
          <w:lang w:val="uk-UA"/>
        </w:rPr>
        <w:t>В.</w:t>
      </w:r>
      <w:r w:rsidRPr="006F74DD">
        <w:rPr>
          <w:sz w:val="28"/>
          <w:szCs w:val="28"/>
          <w:lang w:val="uk-UA"/>
        </w:rPr>
        <w:t>М., Павлюк</w:t>
      </w:r>
      <w:r>
        <w:rPr>
          <w:sz w:val="28"/>
          <w:szCs w:val="28"/>
          <w:lang w:val="uk-UA"/>
        </w:rPr>
        <w:t>К.</w:t>
      </w:r>
      <w:r w:rsidRPr="006F74DD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, </w:t>
      </w:r>
      <w:r w:rsidRPr="006F74DD">
        <w:rPr>
          <w:sz w:val="28"/>
          <w:szCs w:val="28"/>
          <w:lang w:val="uk-UA"/>
        </w:rPr>
        <w:t>Романенко</w:t>
      </w:r>
      <w:r>
        <w:rPr>
          <w:sz w:val="28"/>
          <w:szCs w:val="28"/>
          <w:lang w:val="uk-UA"/>
        </w:rPr>
        <w:t>О.</w:t>
      </w:r>
      <w:r w:rsidRPr="006F74DD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F74DD">
        <w:rPr>
          <w:sz w:val="28"/>
          <w:szCs w:val="28"/>
          <w:lang w:val="uk-UA"/>
        </w:rPr>
        <w:t>Сафонова</w:t>
      </w:r>
      <w:r>
        <w:rPr>
          <w:sz w:val="28"/>
          <w:szCs w:val="28"/>
          <w:lang w:val="uk-UA"/>
        </w:rPr>
        <w:t>Л.</w:t>
      </w:r>
      <w:r w:rsidRPr="006F74D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., </w:t>
      </w:r>
      <w:r w:rsidRPr="006F74DD">
        <w:rPr>
          <w:sz w:val="28"/>
          <w:szCs w:val="28"/>
          <w:lang w:val="uk-UA"/>
        </w:rPr>
        <w:t>Чечуліна</w:t>
      </w:r>
      <w:r>
        <w:rPr>
          <w:sz w:val="28"/>
          <w:szCs w:val="28"/>
          <w:lang w:val="uk-UA"/>
        </w:rPr>
        <w:t>О.</w:t>
      </w:r>
      <w:r w:rsidRPr="006F74DD">
        <w:rPr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>,</w:t>
      </w:r>
      <w:r w:rsidRPr="006F74DD">
        <w:rPr>
          <w:sz w:val="28"/>
          <w:szCs w:val="28"/>
          <w:lang w:val="uk-UA"/>
        </w:rPr>
        <w:t xml:space="preserve"> Юрій</w:t>
      </w:r>
      <w:r>
        <w:rPr>
          <w:sz w:val="28"/>
          <w:szCs w:val="28"/>
          <w:lang w:val="uk-UA"/>
        </w:rPr>
        <w:t>С.</w:t>
      </w:r>
      <w:r w:rsidRPr="006F74DD">
        <w:rPr>
          <w:sz w:val="28"/>
          <w:szCs w:val="28"/>
          <w:lang w:val="uk-UA"/>
        </w:rPr>
        <w:t>І</w:t>
      </w:r>
      <w:r w:rsidRPr="00937BD4">
        <w:rPr>
          <w:sz w:val="28"/>
          <w:szCs w:val="28"/>
          <w:lang w:val="uk-UA"/>
        </w:rPr>
        <w:t>.</w:t>
      </w:r>
      <w:r w:rsidRPr="006F74D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Боголіб Т.М.</w:t>
      </w:r>
      <w:r w:rsidRPr="006F74DD">
        <w:rPr>
          <w:sz w:val="28"/>
          <w:szCs w:val="28"/>
          <w:lang w:val="uk-UA"/>
        </w:rPr>
        <w:t>та інші.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Доходи, видатки та витрати бюджетних установ – це самостійні об’єкти обліку, проте в системі бухгалтерського обліку бюджетних установ розглядаються у взаємозв’язку, оскільки зв’язок між ними має причинно-наслідковий характер. У загальній системі бухгалтерського обліку саме облік доходів і видатків є найскладнішим і найвідповідальнішим, про що, до речі, свідчить традиційна друга назва системи – бухгалтерський облік виконання кошторису. Для обліку коштів загального фонду на початок нового бюджетного періоду в казначействі відкривається реєстраційний рахунок. Факти зарахування коштів на цей рахунок підтверджують платіжними дорученнями та виписками з рахунка, в яких обов’язково вказуються відправник коштів, одержувач, коди рахунків та період, за який надійшли асигнування та інші реквізити</w:t>
      </w:r>
      <w:r>
        <w:rPr>
          <w:rFonts w:eastAsia="TimesNewRomanPSMT"/>
          <w:sz w:val="28"/>
          <w:szCs w:val="20"/>
          <w:lang w:val="uk-UA"/>
        </w:rPr>
        <w:t xml:space="preserve"> [1, с. 185]</w:t>
      </w:r>
      <w:r w:rsidRPr="006F74DD">
        <w:rPr>
          <w:rFonts w:eastAsia="TimesNewRomanPSMT"/>
          <w:sz w:val="28"/>
          <w:szCs w:val="20"/>
          <w:lang w:val="uk-UA"/>
        </w:rPr>
        <w:t>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Основою ефективного функціонування будь-якої організації є належне фінансове забезпечення, однак більшість установ бюджетної сфери в Україні не мають власних джерел надходжень, а, отже, здійснює свою діяльність за рахунок коштів, отриманих із державного (місцевого) бюджету. До найбільш характерних особливостей кошторисного фінансування, на нашу думку, можна віднести: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1) виключність бюджетних джерел фінансування – установа може фінансуватися лише з одного, державного або місцевого, бюджету (за винятком видатків, пов’язаних із фінансуванням надзвичайних заходів (стихійних лих, наслідків катастроф тощо);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2) обмеженість джерел фінансування – бюджетні установи фінансуються у межах встановлених норм та нормативів, сума кошторисних надходжень встановляється на бюджетний період (рік) і фінансується за відповідним графіком; зміна обсягів фінансування у межах призначень потребує затвердження вищестоящої організації;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 xml:space="preserve">3) відносна автономія позабюджетних джерел фінансування – джерела надходжень спеціального фонду кошторису жорстко регламентовані: 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 xml:space="preserve">а) кошти від надання установою платних </w:t>
      </w:r>
      <w:r>
        <w:rPr>
          <w:sz w:val="28"/>
          <w:szCs w:val="28"/>
          <w:lang w:val="uk-UA"/>
        </w:rPr>
        <w:t>послуг (перелік і тарифи затвер</w:t>
      </w:r>
      <w:r w:rsidRPr="006F74DD">
        <w:rPr>
          <w:sz w:val="28"/>
          <w:szCs w:val="28"/>
          <w:lang w:val="uk-UA"/>
        </w:rPr>
        <w:t xml:space="preserve">джуються вищестоящим органом або централізовано); 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 xml:space="preserve">б) кошти від ведення господарської діяльності або надання в оренду майна, яким розпоряджається установа (перелік видів діяльності, об’єктів, умов і термінів передачі майна також жорстко регламентовано); 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в) добровільні внески – пожертви, дарунки, гранти (найбільш спірне і найменш прозоре джерело фінансових ресурсів);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4) цільовий характер фінансування – виділені (отримані) кошти можуть бути спрямовані виключно на цілі, передбачені кошторисом; при цьому</w:t>
      </w:r>
      <w:r>
        <w:rPr>
          <w:sz w:val="28"/>
          <w:szCs w:val="28"/>
          <w:lang w:val="uk-UA"/>
        </w:rPr>
        <w:t>,</w:t>
      </w:r>
      <w:r w:rsidRPr="006F74DD">
        <w:rPr>
          <w:sz w:val="28"/>
          <w:szCs w:val="28"/>
          <w:lang w:val="uk-UA"/>
        </w:rPr>
        <w:t xml:space="preserve"> в окремих випадках установі може бути надане право перерозподілукоштів між окремими статтями, але у межахзатвердженої загальної суми</w:t>
      </w:r>
      <w:r>
        <w:rPr>
          <w:sz w:val="28"/>
          <w:szCs w:val="28"/>
          <w:lang w:val="uk-UA"/>
        </w:rPr>
        <w:t xml:space="preserve"> [2]</w:t>
      </w:r>
      <w:r w:rsidRPr="006F74DD">
        <w:rPr>
          <w:sz w:val="28"/>
          <w:szCs w:val="28"/>
          <w:lang w:val="uk-UA"/>
        </w:rPr>
        <w:t>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 xml:space="preserve">Для обліку асигнувань бюджетні установи </w:t>
      </w:r>
      <w:r>
        <w:rPr>
          <w:rFonts w:eastAsia="TimesNewRomanPSMT"/>
          <w:sz w:val="28"/>
          <w:szCs w:val="20"/>
          <w:lang w:val="uk-UA"/>
        </w:rPr>
        <w:t>використовують 321 рахунок «Реєстраційний рахунок»</w:t>
      </w:r>
      <w:r w:rsidRPr="006F74DD">
        <w:rPr>
          <w:rFonts w:eastAsia="TimesNewRomanPSMT"/>
          <w:sz w:val="28"/>
          <w:szCs w:val="20"/>
          <w:lang w:val="uk-UA"/>
        </w:rPr>
        <w:t>. Для обліку доходів за загальним фондом призначено ра</w:t>
      </w:r>
      <w:r>
        <w:rPr>
          <w:rFonts w:eastAsia="TimesNewRomanPSMT"/>
          <w:sz w:val="28"/>
          <w:szCs w:val="20"/>
          <w:lang w:val="uk-UA"/>
        </w:rPr>
        <w:t>хунок 701 «</w:t>
      </w:r>
      <w:r w:rsidRPr="006F74DD">
        <w:rPr>
          <w:rFonts w:eastAsia="TimesNewRomanPSMT"/>
          <w:sz w:val="28"/>
          <w:szCs w:val="20"/>
          <w:lang w:val="uk-UA"/>
        </w:rPr>
        <w:t>Асигнування з державного бюджету на вид</w:t>
      </w:r>
      <w:r>
        <w:rPr>
          <w:rFonts w:eastAsia="TimesNewRomanPSMT"/>
          <w:sz w:val="28"/>
          <w:szCs w:val="20"/>
          <w:lang w:val="uk-UA"/>
        </w:rPr>
        <w:t>атки установи та на інші заходи»</w:t>
      </w:r>
      <w:r w:rsidRPr="006F74DD">
        <w:rPr>
          <w:rFonts w:eastAsia="TimesNewRomanPSMT"/>
          <w:sz w:val="28"/>
          <w:szCs w:val="20"/>
          <w:lang w:val="uk-UA"/>
        </w:rPr>
        <w:t>. Основними первинними документами з обліку надходжень і використання бюджетних асигнувань є акти, договори, угоди, контракти, платіжні доручення, квитанції, виписки з</w:t>
      </w:r>
      <w:r>
        <w:rPr>
          <w:rFonts w:eastAsia="TimesNewRomanPSMT"/>
          <w:sz w:val="28"/>
          <w:szCs w:val="20"/>
          <w:lang w:val="uk-UA"/>
        </w:rPr>
        <w:t>рахунків</w:t>
      </w:r>
      <w:r w:rsidRPr="006F74DD">
        <w:rPr>
          <w:rFonts w:eastAsia="TimesNewRomanPSMT"/>
          <w:sz w:val="28"/>
          <w:szCs w:val="20"/>
          <w:lang w:val="uk-UA"/>
        </w:rPr>
        <w:t>. Облік доходів спеціального фо</w:t>
      </w:r>
      <w:r>
        <w:rPr>
          <w:rFonts w:eastAsia="TimesNewRomanPSMT"/>
          <w:sz w:val="28"/>
          <w:szCs w:val="20"/>
          <w:lang w:val="uk-UA"/>
        </w:rPr>
        <w:t>нду здійснюється на рахунку 71 «Доходи спеціального фонду» і 72 «</w:t>
      </w:r>
      <w:r w:rsidRPr="006F74DD">
        <w:rPr>
          <w:rFonts w:eastAsia="TimesNewRomanPSMT"/>
          <w:sz w:val="28"/>
          <w:szCs w:val="20"/>
          <w:lang w:val="uk-UA"/>
        </w:rPr>
        <w:t>Доходи від реалізації проду</w:t>
      </w:r>
      <w:r>
        <w:rPr>
          <w:rFonts w:eastAsia="TimesNewRomanPSMT"/>
          <w:sz w:val="28"/>
          <w:szCs w:val="20"/>
          <w:lang w:val="uk-UA"/>
        </w:rPr>
        <w:t>кції, виробів і виконаних робіт»</w:t>
      </w:r>
      <w:r w:rsidRPr="006F74DD">
        <w:rPr>
          <w:rFonts w:eastAsia="TimesNewRomanPSMT"/>
          <w:sz w:val="28"/>
          <w:szCs w:val="20"/>
          <w:lang w:val="uk-UA"/>
        </w:rPr>
        <w:t xml:space="preserve">. </w:t>
      </w:r>
      <w:r>
        <w:rPr>
          <w:rFonts w:eastAsia="TimesNewRomanPSMT"/>
          <w:sz w:val="28"/>
          <w:szCs w:val="20"/>
          <w:lang w:val="uk-UA"/>
        </w:rPr>
        <w:t>Кошти надходять на рахунки 323 «</w:t>
      </w:r>
      <w:r w:rsidRPr="006F74DD">
        <w:rPr>
          <w:rFonts w:eastAsia="TimesNewRomanPSMT"/>
          <w:sz w:val="28"/>
          <w:szCs w:val="20"/>
          <w:lang w:val="uk-UA"/>
        </w:rPr>
        <w:t>Спеціальні реєстраційні рахунки для обліку коштів, отриманих як плат</w:t>
      </w:r>
      <w:r>
        <w:rPr>
          <w:rFonts w:eastAsia="TimesNewRomanPSMT"/>
          <w:sz w:val="28"/>
          <w:szCs w:val="20"/>
          <w:lang w:val="uk-UA"/>
        </w:rPr>
        <w:t>а за послуги» та 324 «</w:t>
      </w:r>
      <w:r w:rsidRPr="006F74DD">
        <w:rPr>
          <w:rFonts w:eastAsia="TimesNewRomanPSMT"/>
          <w:sz w:val="28"/>
          <w:szCs w:val="20"/>
          <w:lang w:val="uk-UA"/>
        </w:rPr>
        <w:t>Спеціальні реєстраційні рахунки для обліку коштів, отриманих за інши</w:t>
      </w:r>
      <w:r>
        <w:rPr>
          <w:rFonts w:eastAsia="TimesNewRomanPSMT"/>
          <w:sz w:val="28"/>
          <w:szCs w:val="20"/>
          <w:lang w:val="uk-UA"/>
        </w:rPr>
        <w:t>ми джерелами власних надходжень»</w:t>
      </w:r>
      <w:r w:rsidRPr="006F74DD">
        <w:rPr>
          <w:rFonts w:eastAsia="TimesNewRomanPSMT"/>
          <w:sz w:val="28"/>
          <w:szCs w:val="20"/>
          <w:lang w:val="uk-UA"/>
        </w:rPr>
        <w:t>, які є активними. На основі первинних документів запов</w:t>
      </w:r>
      <w:r>
        <w:rPr>
          <w:rFonts w:eastAsia="TimesNewRomanPSMT"/>
          <w:sz w:val="28"/>
          <w:szCs w:val="20"/>
          <w:lang w:val="uk-UA"/>
        </w:rPr>
        <w:t>нюється меморіальний ордер № 3 «</w:t>
      </w:r>
      <w:r w:rsidRPr="006F74DD">
        <w:rPr>
          <w:rFonts w:eastAsia="TimesNewRomanPSMT"/>
          <w:sz w:val="28"/>
          <w:szCs w:val="20"/>
          <w:lang w:val="uk-UA"/>
        </w:rPr>
        <w:t>Накопичувальна відомість руху грошових коштів спеціального фонду в органах Державного казначей</w:t>
      </w:r>
      <w:r>
        <w:rPr>
          <w:rFonts w:eastAsia="TimesNewRomanPSMT"/>
          <w:sz w:val="28"/>
          <w:szCs w:val="20"/>
          <w:lang w:val="uk-UA"/>
        </w:rPr>
        <w:t>стві України (установах банків)»</w:t>
      </w:r>
      <w:r w:rsidRPr="006F74DD">
        <w:rPr>
          <w:rFonts w:eastAsia="TimesNewRomanPSMT"/>
          <w:sz w:val="28"/>
          <w:szCs w:val="20"/>
          <w:lang w:val="uk-UA"/>
        </w:rPr>
        <w:t>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Облік операцій з нарахування доходів спеціального фонду ведеть</w:t>
      </w:r>
      <w:r>
        <w:rPr>
          <w:rFonts w:eastAsia="TimesNewRomanPSMT"/>
          <w:sz w:val="28"/>
          <w:szCs w:val="20"/>
          <w:lang w:val="uk-UA"/>
        </w:rPr>
        <w:t>ся в меморіальному ордері № 14 «</w:t>
      </w:r>
      <w:r w:rsidRPr="006F74DD">
        <w:rPr>
          <w:rFonts w:eastAsia="TimesNewRomanPSMT"/>
          <w:sz w:val="28"/>
          <w:szCs w:val="20"/>
          <w:lang w:val="uk-UA"/>
        </w:rPr>
        <w:t>Накопичувальна відомість нарахування доходів спеціального фонду бюджетних установ</w:t>
      </w:r>
      <w:r>
        <w:rPr>
          <w:rFonts w:eastAsia="TimesNewRomanPSMT"/>
          <w:sz w:val="28"/>
          <w:szCs w:val="20"/>
          <w:lang w:val="uk-UA"/>
        </w:rPr>
        <w:t>»</w:t>
      </w:r>
      <w:r w:rsidRPr="006F74DD">
        <w:rPr>
          <w:rFonts w:eastAsia="TimesNewRomanPSMT"/>
          <w:sz w:val="28"/>
          <w:szCs w:val="20"/>
          <w:lang w:val="uk-UA"/>
        </w:rPr>
        <w:t xml:space="preserve">. На основі цих ордерів формується </w:t>
      </w:r>
      <w:r>
        <w:rPr>
          <w:rFonts w:eastAsia="TimesNewRomanPSMT"/>
          <w:sz w:val="28"/>
          <w:szCs w:val="20"/>
          <w:lang w:val="uk-UA"/>
        </w:rPr>
        <w:t>книга «Журнал-головна»</w:t>
      </w:r>
      <w:r w:rsidRPr="006F74DD">
        <w:rPr>
          <w:rFonts w:eastAsia="TimesNewRomanPSMT"/>
          <w:sz w:val="28"/>
          <w:szCs w:val="20"/>
          <w:lang w:val="uk-UA"/>
        </w:rPr>
        <w:t>, що ведеться за субрахунками, на рахунках за минулий рік.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>
        <w:rPr>
          <w:noProof/>
          <w:lang w:val="uk-UA" w:eastAsia="uk-UA"/>
        </w:rPr>
        <w:pict>
          <v:group id="_x0000_s1026" style="position:absolute;left:0;text-align:left;margin-left:.3pt;margin-top:92.55pt;width:487.5pt;height:306pt;z-index:251658240" coordorigin="1140,3951" coordsize="9750,612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6210;top:5286;width:0;height:390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140;top:3951;width:9630;height:465">
              <v:textbox>
                <w:txbxContent>
                  <w:p w:rsidR="00D91AEF" w:rsidRPr="000E13D2" w:rsidRDefault="00D91AEF" w:rsidP="001B62EE">
                    <w:pPr>
                      <w:jc w:val="center"/>
                      <w:rPr>
                        <w:sz w:val="40"/>
                      </w:rPr>
                    </w:pPr>
                    <w:r w:rsidRPr="000E13D2">
                      <w:rPr>
                        <w:rFonts w:eastAsia="TimesNewRomanPSMT"/>
                        <w:szCs w:val="20"/>
                      </w:rPr>
                      <w:t>Функціївнутрішніх та зовнішніхконтрольнихорганів</w:t>
                    </w:r>
                  </w:p>
                </w:txbxContent>
              </v:textbox>
            </v:shape>
            <v:shape id="_x0000_s1029" type="#_x0000_t32" style="position:absolute;left:2715;top:4416;width:0;height:390" o:connectortype="straight">
              <v:stroke endarrow="block"/>
            </v:shape>
            <v:shape id="_x0000_s1030" type="#_x0000_t32" style="position:absolute;left:7935;top:4416;width:0;height:390" o:connectortype="straight">
              <v:stroke endarrow="block"/>
            </v:shape>
            <v:shape id="_x0000_s1031" type="#_x0000_t202" style="position:absolute;left:1140;top:4806;width:3285;height:480">
              <v:textbox>
                <w:txbxContent>
                  <w:p w:rsidR="00D91AEF" w:rsidRPr="000E13D2" w:rsidRDefault="00D91AEF" w:rsidP="000E13D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Внутрішній контроль</w:t>
                    </w:r>
                  </w:p>
                </w:txbxContent>
              </v:textbox>
            </v:shape>
            <v:shape id="_x0000_s1032" type="#_x0000_t202" style="position:absolute;left:5145;top:4806;width:5625;height:480">
              <v:textbox>
                <w:txbxContent>
                  <w:p w:rsidR="00D91AEF" w:rsidRPr="000E13D2" w:rsidRDefault="00D91AEF" w:rsidP="000E13D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Зовнішній контроль</w:t>
                    </w:r>
                  </w:p>
                </w:txbxContent>
              </v:textbox>
            </v:shape>
            <v:shape id="_x0000_s1033" type="#_x0000_t32" style="position:absolute;left:2730;top:5286;width:0;height:390" o:connectortype="straight">
              <v:stroke endarrow="block"/>
            </v:shape>
            <v:shape id="_x0000_s1034" type="#_x0000_t202" style="position:absolute;left:1140;top:5676;width:3285;height:765">
              <v:textbox>
                <w:txbxContent>
                  <w:p w:rsidR="00D91AEF" w:rsidRPr="000E13D2" w:rsidRDefault="00D91AEF" w:rsidP="000E13D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Бухгалтерська служба підприємства</w:t>
                    </w:r>
                  </w:p>
                </w:txbxContent>
              </v:textbox>
            </v:shape>
            <v:shape id="_x0000_s1035" type="#_x0000_t32" style="position:absolute;left:2745;top:6441;width:0;height:390" o:connectortype="straight">
              <v:stroke endarrow="block"/>
            </v:shape>
            <v:shape id="_x0000_s1036" type="#_x0000_t202" style="position:absolute;left:1140;top:6831;width:3285;height:1050">
              <v:textbox>
                <w:txbxContent>
                  <w:p w:rsidR="00D91AEF" w:rsidRPr="000E13D2" w:rsidRDefault="00D91AEF" w:rsidP="000E13D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Дотримання фінансово-бюджетної, кошторисної дисципліни</w:t>
                    </w:r>
                  </w:p>
                </w:txbxContent>
              </v:textbox>
            </v:shape>
            <v:shape id="_x0000_s1037" type="#_x0000_t202" style="position:absolute;left:1140;top:8226;width:3285;height:1290">
              <v:textbox>
                <w:txbxContent>
                  <w:p w:rsidR="00D91AEF" w:rsidRPr="000E13D2" w:rsidRDefault="00D91AEF" w:rsidP="000E13D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Збереження й цільове використання бюджетних коштів і коштів державних та цільових фондів</w:t>
                    </w:r>
                  </w:p>
                </w:txbxContent>
              </v:textbox>
            </v:shape>
            <v:shape id="_x0000_s1038" type="#_x0000_t32" style="position:absolute;left:2760;top:7881;width:0;height:345" o:connectortype="straight">
              <v:stroke endarrow="block"/>
            </v:shape>
            <v:shape id="_x0000_s1039" type="#_x0000_t202" style="position:absolute;left:4650;top:5676;width:3090;height:765">
              <v:textbox>
                <w:txbxContent>
                  <w:p w:rsidR="00D91AEF" w:rsidRPr="000E13D2" w:rsidRDefault="00D91AEF" w:rsidP="00583028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Державна казначейська служба</w:t>
                    </w:r>
                  </w:p>
                </w:txbxContent>
              </v:textbox>
            </v:shape>
            <v:shape id="_x0000_s1040" type="#_x0000_t202" style="position:absolute;left:4665;top:6831;width:3075;height:1305">
              <v:textbox>
                <w:txbxContent>
                  <w:p w:rsidR="00D91AEF" w:rsidRPr="000E13D2" w:rsidRDefault="00D91AEF" w:rsidP="00583028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Відповідність кошторисів розпорядників бюджетних коштів  показникам розпису бюджету </w:t>
                    </w:r>
                  </w:p>
                </w:txbxContent>
              </v:textbox>
            </v:shape>
            <v:shape id="_x0000_s1041" type="#_x0000_t32" style="position:absolute;left:6210;top:6441;width:0;height:390" o:connectortype="straight">
              <v:stroke endarrow="block"/>
            </v:shape>
            <v:shape id="_x0000_s1042" type="#_x0000_t32" style="position:absolute;left:6225;top:8136;width:0;height:390" o:connectortype="straight">
              <v:stroke endarrow="block"/>
            </v:shape>
            <v:shape id="_x0000_s1043" type="#_x0000_t202" style="position:absolute;left:4740;top:8526;width:3075;height:1545">
              <v:textbox>
                <w:txbxContent>
                  <w:p w:rsidR="00D91AEF" w:rsidRPr="000E13D2" w:rsidRDefault="00D91AEF" w:rsidP="00432A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Відповідність взятих розпорядниками бюджетних зобов’язань відповідним бюджетним асигнуванням</w:t>
                    </w:r>
                  </w:p>
                </w:txbxContent>
              </v:textbox>
            </v:shape>
            <v:shape id="_x0000_s1044" type="#_x0000_t32" style="position:absolute;left:9345;top:5286;width:0;height:390" o:connectortype="straight">
              <v:stroke endarrow="block"/>
            </v:shape>
            <v:shape id="_x0000_s1045" type="#_x0000_t202" style="position:absolute;left:7935;top:5676;width:2895;height:765">
              <v:textbox>
                <w:txbxContent>
                  <w:p w:rsidR="00D91AEF" w:rsidRPr="000E13D2" w:rsidRDefault="00D91AEF" w:rsidP="00432A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Державна фінансова інспекція України</w:t>
                    </w:r>
                  </w:p>
                </w:txbxContent>
              </v:textbox>
            </v:shape>
            <v:shape id="_x0000_s1046" type="#_x0000_t32" style="position:absolute;left:9345;top:6441;width:0;height:390" o:connectortype="straight">
              <v:stroke endarrow="block"/>
            </v:shape>
            <v:shape id="_x0000_s1047" type="#_x0000_t202" style="position:absolute;left:7935;top:6831;width:2895;height:1305">
              <v:textbox>
                <w:txbxContent>
                  <w:p w:rsidR="00D91AEF" w:rsidRPr="000E13D2" w:rsidRDefault="00D91AEF" w:rsidP="00432A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Правильність визначення  потреби в бюджетних коштах та взяття зобов’язань </w:t>
                    </w:r>
                  </w:p>
                </w:txbxContent>
              </v:textbox>
            </v:shape>
            <v:shape id="_x0000_s1048" type="#_x0000_t32" style="position:absolute;left:9345;top:8136;width:0;height:390" o:connectortype="straight">
              <v:stroke endarrow="block"/>
            </v:shape>
            <v:shape id="_x0000_s1049" type="#_x0000_t202" style="position:absolute;left:8025;top:8526;width:2865;height:990">
              <v:textbox>
                <w:txbxContent>
                  <w:p w:rsidR="00D91AEF" w:rsidRPr="000E13D2" w:rsidRDefault="00D91AEF" w:rsidP="00432A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Цільове використання коштів державного і  місцевих бюджетів</w:t>
                    </w:r>
                  </w:p>
                </w:txbxContent>
              </v:textbox>
            </v:shape>
          </v:group>
        </w:pict>
      </w:r>
      <w:r w:rsidRPr="006F74DD">
        <w:rPr>
          <w:rFonts w:eastAsia="TimesNewRomanPSMT"/>
          <w:sz w:val="28"/>
          <w:szCs w:val="20"/>
          <w:lang w:val="uk-UA"/>
        </w:rPr>
        <w:t xml:space="preserve">Цільове та ефективне використання </w:t>
      </w:r>
      <w:r>
        <w:rPr>
          <w:rFonts w:eastAsia="TimesNewRomanPSMT"/>
          <w:sz w:val="28"/>
          <w:szCs w:val="20"/>
          <w:lang w:val="uk-UA"/>
        </w:rPr>
        <w:t xml:space="preserve">фінансових </w:t>
      </w:r>
      <w:r w:rsidRPr="006F74DD">
        <w:rPr>
          <w:rFonts w:eastAsia="TimesNewRomanPSMT"/>
          <w:sz w:val="28"/>
          <w:szCs w:val="20"/>
          <w:lang w:val="uk-UA"/>
        </w:rPr>
        <w:t xml:space="preserve">ресурсів </w:t>
      </w:r>
      <w:r>
        <w:rPr>
          <w:rFonts w:eastAsia="TimesNewRomanPSMT"/>
          <w:sz w:val="28"/>
          <w:szCs w:val="20"/>
          <w:lang w:val="uk-UA"/>
        </w:rPr>
        <w:t xml:space="preserve">бюджетних установ </w:t>
      </w:r>
      <w:r w:rsidRPr="006F74DD">
        <w:rPr>
          <w:rFonts w:eastAsia="TimesNewRomanPSMT"/>
          <w:sz w:val="28"/>
          <w:szCs w:val="20"/>
          <w:lang w:val="uk-UA"/>
        </w:rPr>
        <w:t>здійснюється шляхом внутрішнього та зовнішнього контролю. Функції внутрішніх та зовнішніх контрольних органів проілюстровано на рис. 1.1.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Default="00D91AEF" w:rsidP="00AF7CA8">
      <w:pPr>
        <w:spacing w:line="360" w:lineRule="auto"/>
        <w:ind w:firstLine="567"/>
        <w:jc w:val="center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AF7CA8">
      <w:pPr>
        <w:spacing w:line="360" w:lineRule="auto"/>
        <w:ind w:firstLine="567"/>
        <w:jc w:val="center"/>
        <w:rPr>
          <w:sz w:val="40"/>
          <w:lang w:val="uk-UA"/>
        </w:rPr>
      </w:pPr>
      <w:r>
        <w:rPr>
          <w:rFonts w:eastAsia="TimesNewRomanPSMT"/>
          <w:sz w:val="28"/>
          <w:szCs w:val="20"/>
          <w:lang w:val="uk-UA"/>
        </w:rPr>
        <w:t>Рис. 1.</w:t>
      </w:r>
      <w:r w:rsidRPr="006F74DD">
        <w:rPr>
          <w:rFonts w:eastAsia="TimesNewRomanPSMT"/>
          <w:sz w:val="28"/>
          <w:szCs w:val="20"/>
          <w:lang w:val="uk-UA"/>
        </w:rPr>
        <w:t xml:space="preserve"> Функції внутрішніх та зовнішніх контрольних органів</w:t>
      </w:r>
    </w:p>
    <w:p w:rsidR="00D91AEF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Одним із методів контролю за використанням бюджетних асигнувань є аналіз виконання кошторису бюджетної установи. Завдання аналізу конкретизуються у процесі вивчення видатків за окремими їх видами і спрямуваннями. Для цього слід вивчити склад і структуру видатків: видатки групуються за кодами економічної класифікації видатків та кредитування бюджету, потім визначається питома вага кожної групи видатків у їх загальній сумі й виконується їх порівняння з показниками кошторису і попереднього року.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Важливим елементом аналізу видатків бюджетної установи є вивчення співвідношення між касовими і фактичними видатками. Виходячи із суттєвості касових і фактичних видатків, їх співвідношення за даними звітності установи, можна визначити загальну суму касових (</w:t>
      </w:r>
      <w:r w:rsidRPr="006F74DD">
        <w:rPr>
          <w:rFonts w:eastAsia="TimesNewRomanPSMT"/>
          <w:iCs/>
          <w:sz w:val="28"/>
          <w:szCs w:val="20"/>
          <w:lang w:val="uk-UA"/>
        </w:rPr>
        <w:t>Кв</w:t>
      </w:r>
      <w:r w:rsidRPr="006F74DD">
        <w:rPr>
          <w:rFonts w:eastAsia="TimesNewRomanPSMT"/>
          <w:sz w:val="28"/>
          <w:szCs w:val="20"/>
          <w:lang w:val="uk-UA"/>
        </w:rPr>
        <w:t>) і фактичних видатків (</w:t>
      </w:r>
      <w:r w:rsidRPr="006F74DD">
        <w:rPr>
          <w:rFonts w:eastAsia="TimesNewRomanPSMT"/>
          <w:iCs/>
          <w:sz w:val="28"/>
          <w:szCs w:val="20"/>
          <w:lang w:val="uk-UA"/>
        </w:rPr>
        <w:t>Фв</w:t>
      </w:r>
      <w:r w:rsidRPr="006F74DD">
        <w:rPr>
          <w:rFonts w:eastAsia="TimesNewRomanPSMT"/>
          <w:sz w:val="28"/>
          <w:szCs w:val="20"/>
          <w:lang w:val="uk-UA"/>
        </w:rPr>
        <w:t>). Вони розраховуються за формулами, що унаочнюють співвідношення між ними, і дають змогу виявити причини перевищення касових видатків над фактичними або фактичних видатків над касовими: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>Кв = Зп + П – Зк</w:t>
      </w:r>
      <w:r>
        <w:rPr>
          <w:rFonts w:eastAsia="TimesNewRomanPSMT"/>
          <w:sz w:val="28"/>
          <w:szCs w:val="20"/>
          <w:lang w:val="uk-UA"/>
        </w:rPr>
        <w:t>(1</w:t>
      </w:r>
      <w:r w:rsidRPr="006F74DD">
        <w:rPr>
          <w:rFonts w:eastAsia="TimesNewRomanPSMT"/>
          <w:sz w:val="28"/>
          <w:szCs w:val="20"/>
          <w:lang w:val="uk-UA"/>
        </w:rPr>
        <w:t>)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 xml:space="preserve">де </w:t>
      </w:r>
      <w:r w:rsidRPr="006F74DD">
        <w:rPr>
          <w:iCs/>
          <w:sz w:val="28"/>
          <w:szCs w:val="20"/>
          <w:lang w:val="uk-UA"/>
        </w:rPr>
        <w:t>Зп</w:t>
      </w:r>
      <w:r w:rsidRPr="006F74DD">
        <w:rPr>
          <w:rFonts w:eastAsia="TimesNewRomanPSMT"/>
          <w:sz w:val="28"/>
          <w:szCs w:val="20"/>
          <w:lang w:val="uk-UA"/>
        </w:rPr>
        <w:t>– залишки коштів установи на початок року;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 xml:space="preserve">П </w:t>
      </w:r>
      <w:r w:rsidRPr="006F74DD">
        <w:rPr>
          <w:rFonts w:eastAsia="TimesNewRomanPSMT"/>
          <w:sz w:val="28"/>
          <w:szCs w:val="20"/>
          <w:lang w:val="uk-UA"/>
        </w:rPr>
        <w:t>– сума коштів, перерахованих за рік;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>Зк</w:t>
      </w:r>
      <w:r w:rsidRPr="006F74DD">
        <w:rPr>
          <w:rFonts w:eastAsia="TimesNewRomanPSMT"/>
          <w:sz w:val="28"/>
          <w:szCs w:val="20"/>
          <w:lang w:val="uk-UA"/>
        </w:rPr>
        <w:t>– залишки грошових засобів установи на кінець року.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 xml:space="preserve">Фв = Кв – (ЗКп – ЗКк) + (ЗМп – ЗМк) + (ЗДп – ЗДк) + (ПОп – ПОк)      </w:t>
      </w:r>
      <w:r>
        <w:rPr>
          <w:rFonts w:eastAsia="TimesNewRomanPSMT"/>
          <w:sz w:val="28"/>
          <w:szCs w:val="20"/>
          <w:lang w:val="uk-UA"/>
        </w:rPr>
        <w:t>(2</w:t>
      </w:r>
      <w:r w:rsidRPr="006F74DD">
        <w:rPr>
          <w:rFonts w:eastAsia="TimesNewRomanPSMT"/>
          <w:sz w:val="28"/>
          <w:szCs w:val="20"/>
          <w:lang w:val="uk-UA"/>
        </w:rPr>
        <w:t>)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або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 xml:space="preserve">Фв = Кв + (ЗКк – ЗКп) – (ЗМк – ЗМп) – (ЗДк – ЗДп) + (ПОк – ПОп)   </w:t>
      </w:r>
      <w:r>
        <w:rPr>
          <w:rFonts w:eastAsia="TimesNewRomanPSMT"/>
          <w:sz w:val="28"/>
          <w:szCs w:val="20"/>
          <w:lang w:val="uk-UA"/>
        </w:rPr>
        <w:t>(</w:t>
      </w:r>
      <w:r w:rsidRPr="006F74DD">
        <w:rPr>
          <w:rFonts w:eastAsia="TimesNewRomanPSMT"/>
          <w:sz w:val="28"/>
          <w:szCs w:val="20"/>
          <w:lang w:val="uk-UA"/>
        </w:rPr>
        <w:t>3)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 xml:space="preserve">де </w:t>
      </w:r>
      <w:r w:rsidRPr="006F74DD">
        <w:rPr>
          <w:iCs/>
          <w:sz w:val="28"/>
          <w:szCs w:val="20"/>
          <w:lang w:val="uk-UA"/>
        </w:rPr>
        <w:t>ЗКп, ЗКк</w:t>
      </w:r>
      <w:r w:rsidRPr="006F74DD">
        <w:rPr>
          <w:rFonts w:eastAsia="TimesNewRomanPSMT"/>
          <w:sz w:val="28"/>
          <w:szCs w:val="20"/>
          <w:lang w:val="uk-UA"/>
        </w:rPr>
        <w:t>– заборгованість кредиторська на початок і кінець року;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>ЗМп, ЗМк</w:t>
      </w:r>
      <w:r w:rsidRPr="006F74DD">
        <w:rPr>
          <w:rFonts w:eastAsia="TimesNewRomanPSMT"/>
          <w:sz w:val="28"/>
          <w:szCs w:val="20"/>
          <w:lang w:val="uk-UA"/>
        </w:rPr>
        <w:t>– залишки на рахунках матеріалів на початок і кінець року;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>ЗДп, ЗДк</w:t>
      </w:r>
      <w:r w:rsidRPr="006F74DD">
        <w:rPr>
          <w:rFonts w:eastAsia="TimesNewRomanPSMT"/>
          <w:sz w:val="28"/>
          <w:szCs w:val="20"/>
          <w:lang w:val="uk-UA"/>
        </w:rPr>
        <w:t>– заборгованість дебіторська на початок і кінець року;</w:t>
      </w:r>
    </w:p>
    <w:p w:rsidR="00D91AEF" w:rsidRPr="006F74DD" w:rsidRDefault="00D91AEF" w:rsidP="00AF7C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iCs/>
          <w:sz w:val="28"/>
          <w:szCs w:val="20"/>
          <w:lang w:val="uk-UA"/>
        </w:rPr>
        <w:t>ПОп, ПОк</w:t>
      </w:r>
      <w:r w:rsidRPr="006F74DD">
        <w:rPr>
          <w:rFonts w:eastAsia="TimesNewRomanPSMT"/>
          <w:sz w:val="28"/>
          <w:szCs w:val="20"/>
          <w:lang w:val="uk-UA"/>
        </w:rPr>
        <w:t>– залишки на рахунках підзвітних осіб на початок і кінець року.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0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>Вивчення співвідношення між касовими та фактичними видатками здійснюється в цілому за кошторисом і за окремими його статтями з використанням даних звіту про виконання кошторису видатків (ф. № 2), балансу виконання кошторису видатків (ф. № 1), обліку касових і фактичних видатків за окремими статтями і видами</w:t>
      </w:r>
      <w:r>
        <w:rPr>
          <w:rFonts w:eastAsia="TimesNewRomanPSMT"/>
          <w:sz w:val="28"/>
          <w:szCs w:val="20"/>
          <w:lang w:val="uk-UA"/>
        </w:rPr>
        <w:t xml:space="preserve"> [3, с. 43]</w:t>
      </w:r>
      <w:r w:rsidRPr="006F74DD">
        <w:rPr>
          <w:rFonts w:eastAsia="TimesNewRomanPSMT"/>
          <w:sz w:val="28"/>
          <w:szCs w:val="20"/>
          <w:lang w:val="uk-UA"/>
        </w:rPr>
        <w:t>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Важливий елемент організаційно-інформаційної моделі – методичне забезпечення аналізу діяльності бюджетної установи. Методичні прийоми обробки облікової інформації, використані в конкретній організаційно-інформаційній моделі аналізу, дозволяють здійснити загальний та факторний аналіз обсягу діяльності установи. Умовно їх поділяють на економіко-логічні та економіко-математичні методи аналізу.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 xml:space="preserve">Економіко-логічні методи застосовуються в загальному і факторному аналізі обсягу діяльності бюджетної установи, в загальному аналізі трудових і матеріальних ресурсів, а також в аналізі руху та ефективності використання ресурсів бюджетної установи. 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Економіко-математичні методи спрямовані на визначення тенденцій розвитку бюджетної установи, прогнозування основних показників її діяльності. В аналізі результатів діяльності та ресурсного потенціалу бюджетної установи економіко-математичні методи використовуються здебільшого для розробки нормативів обслуговування контингенту (методи теорії масового обслуговування) та нормативів витрачання матеріальних ресурсів (методи лінійного програмуван</w:t>
      </w:r>
      <w:r>
        <w:rPr>
          <w:rFonts w:eastAsia="TimesNewRomanPSMT"/>
          <w:sz w:val="28"/>
          <w:szCs w:val="28"/>
          <w:lang w:val="uk-UA"/>
        </w:rPr>
        <w:t>ня). За умови використання комп’</w:t>
      </w:r>
      <w:r w:rsidRPr="006F74DD">
        <w:rPr>
          <w:rFonts w:eastAsia="TimesNewRomanPSMT"/>
          <w:sz w:val="28"/>
          <w:szCs w:val="28"/>
          <w:lang w:val="uk-UA"/>
        </w:rPr>
        <w:t>ютерних технологій обробки інформації можна рекомендувати застосування економіко-математичних методів у стратегічному аналізі та прогнозуванні розвитку бюджетної установи (методи моделювання та регресійно-кореляційного аналізу)</w:t>
      </w:r>
      <w:r w:rsidRPr="007F7A4A">
        <w:rPr>
          <w:rFonts w:eastAsia="TimesNewRomanPSMT"/>
          <w:sz w:val="28"/>
          <w:szCs w:val="28"/>
          <w:lang w:val="uk-UA"/>
        </w:rPr>
        <w:t>[</w:t>
      </w:r>
      <w:r>
        <w:rPr>
          <w:rFonts w:eastAsia="TimesNewRomanPSMT"/>
          <w:sz w:val="28"/>
          <w:szCs w:val="28"/>
          <w:lang w:val="uk-UA"/>
        </w:rPr>
        <w:t>4</w:t>
      </w:r>
      <w:r w:rsidRPr="007F7A4A">
        <w:rPr>
          <w:rFonts w:eastAsia="TimesNewRomanPSMT"/>
          <w:sz w:val="28"/>
          <w:szCs w:val="28"/>
          <w:lang w:val="uk-UA"/>
        </w:rPr>
        <w:t>]</w:t>
      </w:r>
      <w:r w:rsidRPr="006F74DD">
        <w:rPr>
          <w:rFonts w:eastAsia="TimesNewRomanPSMT"/>
          <w:sz w:val="28"/>
          <w:szCs w:val="28"/>
          <w:lang w:val="uk-UA"/>
        </w:rPr>
        <w:t xml:space="preserve">. 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Узагальнення й реалізація результатів аналізу – необхідний етап завершення аналітичного дослідження. На цьому етапі розробляються альтернативні варіанти заходів щодо збільшення обсягу та розширення асортименту послуг, а також поліпшення їх якості на основі ефективного використання ресурсного потенціалу бюджетної установи. Реалізація результатів аналізу ґрунтується на створенні ефективної системи контролю за виконанням управлінських рішень, прийнятих для впровадження найкращого з розроблених аналітиками варіанту заходів щодо поліпшення діяльності установи.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 xml:space="preserve">В міжнародній практиці для відображення операцій в обліку їх показники повинні мати властивість зіставлення з метою забезпечення доступності та зрозумілості </w:t>
      </w:r>
      <w:r>
        <w:rPr>
          <w:rFonts w:eastAsia="TimesNewRomanPSMT"/>
          <w:sz w:val="28"/>
          <w:szCs w:val="28"/>
          <w:lang w:val="uk-UA"/>
        </w:rPr>
        <w:t xml:space="preserve">інформації у звітності </w:t>
      </w:r>
      <w:r w:rsidRPr="006F74DD">
        <w:rPr>
          <w:rFonts w:eastAsia="TimesNewRomanPSMT"/>
          <w:sz w:val="28"/>
          <w:szCs w:val="28"/>
          <w:lang w:val="uk-UA"/>
        </w:rPr>
        <w:t>внутрішніх і зовнішніх користувачів.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Розглянувши аспекти бухгалтерського обліку в бюджетних установах, можна виділити такі проблемні напрямки, які виникають під час здійснення обліку, аналізу та контролю:</w:t>
      </w:r>
    </w:p>
    <w:p w:rsidR="00D91AEF" w:rsidRPr="006F74DD" w:rsidRDefault="00D91AEF" w:rsidP="0083294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– виконання бюджетів за видатками відбувається через виділення асигнувань замість ефективнішої системи – погашення зобов’язань;</w:t>
      </w:r>
    </w:p>
    <w:p w:rsidR="00D91AEF" w:rsidRPr="00571F47" w:rsidRDefault="00D91AEF" w:rsidP="00571F4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>– недоліки у формулюванні облікових визначень, які б повністю враховували загальноекономічні позиції та облікові елементи;</w:t>
      </w:r>
    </w:p>
    <w:p w:rsidR="00D91AEF" w:rsidRPr="006F74DD" w:rsidRDefault="00D91AEF" w:rsidP="005D57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44"/>
          <w:szCs w:val="28"/>
          <w:lang w:val="uk-UA"/>
        </w:rPr>
      </w:pPr>
      <w:r w:rsidRPr="006F74DD">
        <w:rPr>
          <w:rFonts w:eastAsia="TimesNewRomanPSMT"/>
          <w:sz w:val="28"/>
          <w:szCs w:val="20"/>
          <w:lang w:val="uk-UA"/>
        </w:rPr>
        <w:t xml:space="preserve">Таким чином, усі вищенаведені недоліки впливають на організацію роботи працівників як бюджетних установ, так і Державної казначейської служби України, несвоєчасності надання облікової </w:t>
      </w:r>
      <w:r>
        <w:rPr>
          <w:rFonts w:eastAsia="TimesNewRomanPSMT"/>
          <w:sz w:val="28"/>
          <w:szCs w:val="20"/>
          <w:lang w:val="uk-UA"/>
        </w:rPr>
        <w:t>інформації до різних контролююч</w:t>
      </w:r>
      <w:r w:rsidRPr="006F74DD">
        <w:rPr>
          <w:rFonts w:eastAsia="TimesNewRomanPSMT"/>
          <w:sz w:val="28"/>
          <w:szCs w:val="20"/>
          <w:lang w:val="uk-UA"/>
        </w:rPr>
        <w:t>их органів, що призводить до зниження ефективності діяльності бюджетної установи в цілому, а також значно збільшує обсяги облікових робіт.</w:t>
      </w:r>
    </w:p>
    <w:p w:rsidR="00D91AEF" w:rsidRPr="006F74DD" w:rsidRDefault="00D91AEF" w:rsidP="00AF7CA8">
      <w:pPr>
        <w:shd w:val="clear" w:color="auto" w:fill="FFFFFF"/>
        <w:tabs>
          <w:tab w:val="left" w:pos="427"/>
          <w:tab w:val="left" w:pos="9355"/>
        </w:tabs>
        <w:spacing w:line="360" w:lineRule="auto"/>
        <w:ind w:right="-5" w:firstLine="567"/>
        <w:jc w:val="both"/>
        <w:outlineLvl w:val="0"/>
        <w:rPr>
          <w:b/>
          <w:sz w:val="28"/>
          <w:szCs w:val="28"/>
          <w:lang w:val="uk-UA"/>
        </w:rPr>
      </w:pPr>
    </w:p>
    <w:p w:rsidR="00D91AEF" w:rsidRPr="006F74DD" w:rsidRDefault="00D91AEF" w:rsidP="00F432E2">
      <w:pPr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D91AEF" w:rsidRPr="006F74DD" w:rsidRDefault="00D91AEF" w:rsidP="005D5767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F74DD">
        <w:rPr>
          <w:sz w:val="28"/>
          <w:szCs w:val="28"/>
          <w:lang w:val="uk-UA"/>
        </w:rPr>
        <w:t>Вацик Н. Необхідність вдосконалення державного фінансового контролю за використанням бюджетних коштів / Н. Вацик // Галицький економічний вісник. – 2014. – №3(28). ‒ С.184-190.</w:t>
      </w:r>
    </w:p>
    <w:p w:rsidR="00D91AEF" w:rsidRDefault="00D91AEF" w:rsidP="005D5767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eastAsia="TimesNewRomanPSMT"/>
          <w:sz w:val="28"/>
          <w:szCs w:val="28"/>
          <w:lang w:val="uk-UA"/>
        </w:rPr>
      </w:pPr>
      <w:r w:rsidRPr="006F74DD">
        <w:rPr>
          <w:rFonts w:eastAsia="TimesNewRomanPSMT"/>
          <w:sz w:val="28"/>
          <w:szCs w:val="28"/>
          <w:lang w:val="uk-UA"/>
        </w:rPr>
        <w:t xml:space="preserve">Поверінна Т. Аналітичний облік асигнувань, касових і фактичних видатків бюджетних установ / Т. Поверінна // Баланс-бюджет: школа бухгалтера. – Режим доступу: </w:t>
      </w:r>
      <w:hyperlink r:id="rId5" w:history="1">
        <w:r w:rsidRPr="00D053ED">
          <w:rPr>
            <w:rStyle w:val="Hyperlink"/>
            <w:rFonts w:eastAsia="TimesNewRomanPSMT"/>
            <w:color w:val="auto"/>
            <w:sz w:val="28"/>
            <w:szCs w:val="28"/>
            <w:u w:val="none"/>
            <w:lang w:val="uk-UA"/>
          </w:rPr>
          <w:t>http://www.balance.ua</w:t>
        </w:r>
      </w:hyperlink>
      <w:r>
        <w:rPr>
          <w:rFonts w:eastAsia="TimesNewRomanPSMT"/>
          <w:sz w:val="28"/>
          <w:szCs w:val="28"/>
          <w:lang w:val="uk-UA"/>
        </w:rPr>
        <w:t>.</w:t>
      </w:r>
    </w:p>
    <w:p w:rsidR="00D91AEF" w:rsidRPr="006F74DD" w:rsidRDefault="00D91AEF" w:rsidP="005D5767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Сушко Н.</w:t>
      </w:r>
      <w:r w:rsidRPr="006F74DD">
        <w:rPr>
          <w:sz w:val="28"/>
          <w:szCs w:val="28"/>
          <w:lang w:val="uk-UA"/>
        </w:rPr>
        <w:t>І. Бухгалтерський облік та внутрішній аудит у держ</w:t>
      </w:r>
      <w:r>
        <w:rPr>
          <w:sz w:val="28"/>
          <w:szCs w:val="28"/>
          <w:lang w:val="uk-UA"/>
        </w:rPr>
        <w:t>авному секторі: монографія / Н.І. Сушко, Л.В. Гізатуліна, О.</w:t>
      </w:r>
      <w:r w:rsidRPr="006F74DD">
        <w:rPr>
          <w:sz w:val="28"/>
          <w:szCs w:val="28"/>
          <w:lang w:val="uk-UA"/>
        </w:rPr>
        <w:t>П. Куценко. – К.: Аграрна наука, 2009. – 336 с.</w:t>
      </w:r>
    </w:p>
    <w:p w:rsidR="00D91AEF" w:rsidRDefault="00D91AEF" w:rsidP="005D5767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 xml:space="preserve">Барабаш Н.С. Особливості застосування аналітичних методів у контролі розподілу й використання бюджетних ресурсів / Н.С. Барабаш, Т.А. Кумченко, І.І. Никончук// Фінансовий контроль. – Режим доступу: </w:t>
      </w:r>
      <w:hyperlink r:id="rId6" w:history="1">
        <w:r w:rsidRPr="00B802DB">
          <w:rPr>
            <w:rStyle w:val="Hyperlink"/>
            <w:rFonts w:eastAsia="TimesNewRomanPSMT"/>
            <w:color w:val="auto"/>
            <w:sz w:val="28"/>
            <w:szCs w:val="28"/>
            <w:u w:val="none"/>
            <w:lang w:val="uk-UA"/>
          </w:rPr>
          <w:t>http://www.dkrs.gov.ua</w:t>
        </w:r>
      </w:hyperlink>
      <w:r>
        <w:rPr>
          <w:rFonts w:eastAsia="TimesNewRomanPSMT"/>
          <w:sz w:val="28"/>
          <w:szCs w:val="28"/>
          <w:lang w:val="uk-UA"/>
        </w:rPr>
        <w:t>.</w:t>
      </w:r>
    </w:p>
    <w:p w:rsidR="00D91AEF" w:rsidRDefault="00D91AEF" w:rsidP="00976CDB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rPr>
          <w:rFonts w:eastAsia="TimesNewRomanPSMT"/>
          <w:sz w:val="28"/>
          <w:szCs w:val="28"/>
          <w:lang w:val="uk-UA"/>
        </w:rPr>
      </w:pPr>
    </w:p>
    <w:p w:rsidR="00D91AEF" w:rsidRDefault="00D91AEF" w:rsidP="00976CDB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rPr>
          <w:rFonts w:eastAsia="TimesNewRomanPSMT"/>
          <w:b/>
          <w:sz w:val="28"/>
          <w:szCs w:val="28"/>
          <w:lang w:val="uk-UA"/>
        </w:rPr>
      </w:pPr>
      <w:r w:rsidRPr="005D5767">
        <w:rPr>
          <w:rFonts w:eastAsia="TimesNewRomanPSMT"/>
          <w:b/>
          <w:sz w:val="28"/>
          <w:szCs w:val="28"/>
          <w:lang w:val="uk-UA"/>
        </w:rPr>
        <w:t>Науковий керівник:</w:t>
      </w:r>
      <w:r>
        <w:rPr>
          <w:rFonts w:eastAsia="TimesNewRomanPSMT"/>
          <w:b/>
          <w:sz w:val="28"/>
          <w:szCs w:val="28"/>
          <w:lang w:val="uk-UA"/>
        </w:rPr>
        <w:t xml:space="preserve"> </w:t>
      </w:r>
    </w:p>
    <w:p w:rsidR="00D91AEF" w:rsidRDefault="00D91AEF" w:rsidP="00976CDB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>ст. викладач Откаленко О.М.</w:t>
      </w:r>
    </w:p>
    <w:p w:rsidR="00D91AEF" w:rsidRDefault="00D91AEF" w:rsidP="00976CDB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rPr>
          <w:rFonts w:eastAsia="TimesNewRomanPSMT"/>
          <w:sz w:val="28"/>
          <w:szCs w:val="28"/>
          <w:lang w:val="uk-UA"/>
        </w:rPr>
      </w:pPr>
    </w:p>
    <w:sectPr w:rsidR="00D91AEF" w:rsidSect="007037E0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4351"/>
    <w:multiLevelType w:val="multilevel"/>
    <w:tmpl w:val="9EA81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3F244D7"/>
    <w:multiLevelType w:val="hybridMultilevel"/>
    <w:tmpl w:val="ADEA7F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3CE481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3FC6403"/>
    <w:multiLevelType w:val="hybridMultilevel"/>
    <w:tmpl w:val="EEB8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562937"/>
    <w:multiLevelType w:val="hybridMultilevel"/>
    <w:tmpl w:val="1E6C56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8D7958"/>
    <w:multiLevelType w:val="hybridMultilevel"/>
    <w:tmpl w:val="7BB4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6FD"/>
    <w:rsid w:val="00022522"/>
    <w:rsid w:val="000E13D2"/>
    <w:rsid w:val="0011306C"/>
    <w:rsid w:val="00151BBD"/>
    <w:rsid w:val="0016526C"/>
    <w:rsid w:val="001A507A"/>
    <w:rsid w:val="001B62EE"/>
    <w:rsid w:val="001C1D7B"/>
    <w:rsid w:val="001C6184"/>
    <w:rsid w:val="0026741D"/>
    <w:rsid w:val="002C39EE"/>
    <w:rsid w:val="003255B3"/>
    <w:rsid w:val="00376EE3"/>
    <w:rsid w:val="003E199C"/>
    <w:rsid w:val="00432AD6"/>
    <w:rsid w:val="004403F2"/>
    <w:rsid w:val="004746FD"/>
    <w:rsid w:val="00553787"/>
    <w:rsid w:val="00555191"/>
    <w:rsid w:val="00555F7A"/>
    <w:rsid w:val="00571F47"/>
    <w:rsid w:val="005762E8"/>
    <w:rsid w:val="00583028"/>
    <w:rsid w:val="005A4FB0"/>
    <w:rsid w:val="005D5767"/>
    <w:rsid w:val="005D6A52"/>
    <w:rsid w:val="00627F78"/>
    <w:rsid w:val="0065677B"/>
    <w:rsid w:val="006716D2"/>
    <w:rsid w:val="006F74DD"/>
    <w:rsid w:val="007037E0"/>
    <w:rsid w:val="00747B1C"/>
    <w:rsid w:val="007F7A4A"/>
    <w:rsid w:val="00816AAD"/>
    <w:rsid w:val="00832943"/>
    <w:rsid w:val="00937BD4"/>
    <w:rsid w:val="0094074B"/>
    <w:rsid w:val="00940B65"/>
    <w:rsid w:val="00940E20"/>
    <w:rsid w:val="00975230"/>
    <w:rsid w:val="00976CDB"/>
    <w:rsid w:val="00A121DD"/>
    <w:rsid w:val="00A2684E"/>
    <w:rsid w:val="00A73EF0"/>
    <w:rsid w:val="00AD48FC"/>
    <w:rsid w:val="00AF2508"/>
    <w:rsid w:val="00AF7CA8"/>
    <w:rsid w:val="00B500A8"/>
    <w:rsid w:val="00B802DB"/>
    <w:rsid w:val="00BC570C"/>
    <w:rsid w:val="00BF20D8"/>
    <w:rsid w:val="00C74BD4"/>
    <w:rsid w:val="00C7586F"/>
    <w:rsid w:val="00CB6E4F"/>
    <w:rsid w:val="00D053ED"/>
    <w:rsid w:val="00D4371F"/>
    <w:rsid w:val="00D73A60"/>
    <w:rsid w:val="00D82246"/>
    <w:rsid w:val="00D91AEF"/>
    <w:rsid w:val="00D93484"/>
    <w:rsid w:val="00DC4CC2"/>
    <w:rsid w:val="00DD1F44"/>
    <w:rsid w:val="00DF0EA6"/>
    <w:rsid w:val="00E06D4E"/>
    <w:rsid w:val="00F34E2B"/>
    <w:rsid w:val="00F432E2"/>
    <w:rsid w:val="00F928F8"/>
    <w:rsid w:val="00FB586B"/>
    <w:rsid w:val="00FF652C"/>
    <w:rsid w:val="00FF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E20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D6A5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44E0"/>
    <w:rPr>
      <w:sz w:val="0"/>
      <w:szCs w:val="0"/>
      <w:lang w:val="ru-RU" w:eastAsia="ru-RU"/>
    </w:rPr>
  </w:style>
  <w:style w:type="character" w:customStyle="1" w:styleId="apple-style-span">
    <w:name w:val="apple-style-span"/>
    <w:uiPriority w:val="99"/>
    <w:rsid w:val="001C6184"/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D4371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3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krs.gov.ua" TargetMode="External"/><Relationship Id="rId5" Type="http://schemas.openxmlformats.org/officeDocument/2006/relationships/hyperlink" Target="http://www.balance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7347</Words>
  <Characters>4188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Стаття на тему :  „ Організаційні основи документування та діловодства”</dc:title>
  <dc:subject/>
  <dc:creator>Юля</dc:creator>
  <cp:keywords/>
  <dc:description/>
  <cp:lastModifiedBy>Admin</cp:lastModifiedBy>
  <cp:revision>7</cp:revision>
  <cp:lastPrinted>2013-03-17T19:49:00Z</cp:lastPrinted>
  <dcterms:created xsi:type="dcterms:W3CDTF">2015-12-29T12:13:00Z</dcterms:created>
  <dcterms:modified xsi:type="dcterms:W3CDTF">2015-12-29T13:04:00Z</dcterms:modified>
</cp:coreProperties>
</file>