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44E" w:rsidRPr="0087398D" w:rsidRDefault="0080244E" w:rsidP="00773C42">
      <w:pPr>
        <w:spacing w:after="0" w:line="360" w:lineRule="auto"/>
        <w:ind w:firstLine="567"/>
        <w:jc w:val="right"/>
        <w:rPr>
          <w:rFonts w:ascii="Times New Roman" w:hAnsi="Times New Roman"/>
          <w:b/>
          <w:color w:val="000000"/>
          <w:sz w:val="28"/>
          <w:szCs w:val="28"/>
          <w:lang w:val="uk-UA"/>
        </w:rPr>
      </w:pPr>
      <w:r w:rsidRPr="0087398D">
        <w:rPr>
          <w:rFonts w:ascii="Times New Roman" w:hAnsi="Times New Roman"/>
          <w:b/>
          <w:color w:val="000000"/>
          <w:sz w:val="28"/>
          <w:szCs w:val="28"/>
          <w:lang w:val="uk-UA"/>
        </w:rPr>
        <w:t>Маргарита Башли</w:t>
      </w:r>
    </w:p>
    <w:p w:rsidR="0080244E" w:rsidRPr="0087398D" w:rsidRDefault="0080244E" w:rsidP="00773C42">
      <w:pPr>
        <w:spacing w:after="0" w:line="360" w:lineRule="auto"/>
        <w:ind w:firstLine="567"/>
        <w:jc w:val="right"/>
        <w:rPr>
          <w:rFonts w:ascii="Times New Roman" w:hAnsi="Times New Roman"/>
          <w:b/>
          <w:color w:val="000000"/>
          <w:sz w:val="28"/>
          <w:szCs w:val="28"/>
          <w:lang w:val="uk-UA"/>
        </w:rPr>
      </w:pPr>
      <w:r w:rsidRPr="0087398D">
        <w:rPr>
          <w:rFonts w:ascii="Times New Roman" w:hAnsi="Times New Roman"/>
          <w:b/>
          <w:color w:val="000000"/>
          <w:sz w:val="28"/>
          <w:szCs w:val="28"/>
          <w:lang w:val="uk-UA"/>
        </w:rPr>
        <w:t>(Ізмаїл, Україна)</w:t>
      </w:r>
    </w:p>
    <w:p w:rsidR="0080244E" w:rsidRPr="00C8094F" w:rsidRDefault="0080244E" w:rsidP="00773C42">
      <w:pPr>
        <w:spacing w:after="0" w:line="360" w:lineRule="auto"/>
        <w:ind w:firstLine="567"/>
        <w:jc w:val="right"/>
        <w:rPr>
          <w:rFonts w:ascii="Times New Roman" w:hAnsi="Times New Roman"/>
          <w:color w:val="000000"/>
          <w:sz w:val="28"/>
          <w:szCs w:val="28"/>
          <w:lang w:val="uk-UA"/>
        </w:rPr>
      </w:pPr>
    </w:p>
    <w:p w:rsidR="0080244E" w:rsidRDefault="0080244E" w:rsidP="00773C42">
      <w:pPr>
        <w:spacing w:after="0" w:line="360" w:lineRule="auto"/>
        <w:ind w:firstLine="567"/>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БЛАГОДІЙНІСТЬ БЕССАРАБСЬКОГО ДВОРЯНСТВА В 60-70-х рр. ХІХ ст. (ЗА МАТЕРІАЛАМИ </w:t>
      </w:r>
      <w:r w:rsidRPr="00B3696D">
        <w:rPr>
          <w:rFonts w:ascii="Times New Roman" w:hAnsi="Times New Roman"/>
          <w:sz w:val="28"/>
          <w:szCs w:val="28"/>
        </w:rPr>
        <w:t>«</w:t>
      </w:r>
      <w:r>
        <w:rPr>
          <w:rFonts w:ascii="Times New Roman" w:hAnsi="Times New Roman"/>
          <w:b/>
          <w:color w:val="000000"/>
          <w:sz w:val="28"/>
          <w:szCs w:val="28"/>
          <w:lang w:val="uk-UA"/>
        </w:rPr>
        <w:t>КИШИНІВСЬКИХ ЄПАРХІАЛЬНИХ ВІДОМОСТЕЙ</w:t>
      </w:r>
      <w:r w:rsidRPr="00B3696D">
        <w:rPr>
          <w:rFonts w:ascii="Times New Roman" w:hAnsi="Times New Roman"/>
          <w:sz w:val="28"/>
          <w:szCs w:val="28"/>
          <w:lang w:val="uk-UA"/>
        </w:rPr>
        <w:t>»</w:t>
      </w:r>
      <w:r>
        <w:rPr>
          <w:rFonts w:ascii="Times New Roman" w:hAnsi="Times New Roman"/>
          <w:b/>
          <w:color w:val="000000"/>
          <w:sz w:val="28"/>
          <w:szCs w:val="28"/>
          <w:lang w:val="uk-UA"/>
        </w:rPr>
        <w:t>)</w:t>
      </w:r>
    </w:p>
    <w:p w:rsidR="0080244E" w:rsidRDefault="0080244E" w:rsidP="00773C42">
      <w:pPr>
        <w:spacing w:after="0" w:line="360" w:lineRule="auto"/>
        <w:ind w:firstLine="567"/>
        <w:jc w:val="both"/>
        <w:rPr>
          <w:rFonts w:ascii="Times New Roman" w:hAnsi="Times New Roman"/>
          <w:color w:val="000000"/>
          <w:sz w:val="28"/>
          <w:szCs w:val="28"/>
          <w:lang w:val="uk-UA"/>
        </w:rPr>
      </w:pPr>
    </w:p>
    <w:p w:rsidR="0080244E" w:rsidRPr="00863D94" w:rsidRDefault="0080244E" w:rsidP="00773C42">
      <w:pPr>
        <w:spacing w:after="0" w:line="360" w:lineRule="auto"/>
        <w:ind w:firstLine="567"/>
        <w:jc w:val="both"/>
        <w:rPr>
          <w:rFonts w:ascii="Times New Roman" w:hAnsi="Times New Roman"/>
          <w:color w:val="000000"/>
          <w:sz w:val="28"/>
          <w:szCs w:val="28"/>
          <w:lang w:val="uk-UA"/>
        </w:rPr>
      </w:pPr>
      <w:r w:rsidRPr="00863D94">
        <w:rPr>
          <w:rFonts w:ascii="Times New Roman" w:hAnsi="Times New Roman"/>
          <w:sz w:val="28"/>
          <w:szCs w:val="28"/>
          <w:lang w:val="uk-UA"/>
        </w:rPr>
        <w:t xml:space="preserve">Як відомо, благодійність – це діяльність, завдяки якій громадські та приватні ресурси добровільно спрямовуються їхніми власниками для допомоги окремим соціально незахищеним групам людей, вирішення суспільних проблем, а також поліпшення умов громадського життя. Традиція благодійності, яка протягом століть була важливою складовою суспільного життя на українських землях, сьогодні є актуальною як у науковому плані, так і в практичному застосуванні, що спонукає постійно звертатися до її історичного досвіду </w:t>
      </w:r>
      <w:r w:rsidRPr="00B3696D">
        <w:rPr>
          <w:rFonts w:ascii="Times New Roman" w:hAnsi="Times New Roman"/>
          <w:sz w:val="28"/>
          <w:szCs w:val="28"/>
          <w:lang w:val="uk-UA"/>
        </w:rPr>
        <w:t>[1</w:t>
      </w:r>
      <w:r w:rsidRPr="00863D94">
        <w:rPr>
          <w:rFonts w:ascii="Times New Roman" w:hAnsi="Times New Roman"/>
          <w:sz w:val="28"/>
          <w:szCs w:val="28"/>
          <w:lang w:val="uk-UA"/>
        </w:rPr>
        <w:t xml:space="preserve">].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З другої половини XIX ст. через суттєві зміни в соціально-економічному житті Російської імперії спостерігалося піднесення благодійності, яке характеризувалося підвищенням соціальної активності, розмаїттям організаційних форм і напрямів застосування, соціальним пріоритетом та особистими прагненнями благодійників. Особливо це стосувалося  дворянства.</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Одним з джерел, за допомогою якого можна оцінити рівень участи бессарабського дворянства в благодійних справах, являється часопис </w:t>
      </w:r>
      <w:r>
        <w:rPr>
          <w:rFonts w:ascii="Times New Roman" w:hAnsi="Times New Roman"/>
          <w:sz w:val="28"/>
          <w:szCs w:val="28"/>
        </w:rPr>
        <w:t>«</w:t>
      </w:r>
      <w:r w:rsidRPr="00863D94">
        <w:rPr>
          <w:rFonts w:ascii="Times New Roman" w:hAnsi="Times New Roman"/>
          <w:sz w:val="28"/>
          <w:szCs w:val="28"/>
          <w:lang w:val="uk-UA"/>
        </w:rPr>
        <w:t>Кишинівські єпархіальні відомості</w:t>
      </w:r>
      <w:r>
        <w:rPr>
          <w:rFonts w:ascii="Times New Roman" w:hAnsi="Times New Roman"/>
          <w:sz w:val="28"/>
          <w:szCs w:val="28"/>
          <w:lang w:val="uk-UA"/>
        </w:rPr>
        <w:t>»</w:t>
      </w:r>
      <w:r w:rsidRPr="00863D94">
        <w:rPr>
          <w:rFonts w:ascii="Times New Roman" w:hAnsi="Times New Roman"/>
          <w:sz w:val="28"/>
          <w:szCs w:val="28"/>
          <w:lang w:val="uk-UA"/>
        </w:rPr>
        <w:t xml:space="preserve">, який почав виходити з 1 липня 1867 р.  Журнал друкувався спочатку на двох мовах – російській та молдавській, а з 1872 р.  виходив вже лише російською.  Структура часопису була традиційною для свого часу: він поділявся на два відділи – офіційний та неофіційний. В офіційному відділі розміщувалися розпорядження влади та єпархіального керівництва, постанови духовної консисторії тощо. Неофіційний відділ друкував праці церковних журналістів, істориків, богословів.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В інформації, яка публікувалась на сторінках </w:t>
      </w:r>
      <w:r w:rsidRPr="00A12584">
        <w:rPr>
          <w:rFonts w:ascii="Times New Roman" w:hAnsi="Times New Roman"/>
          <w:sz w:val="28"/>
          <w:szCs w:val="28"/>
          <w:lang w:val="uk-UA"/>
        </w:rPr>
        <w:t>«</w:t>
      </w:r>
      <w:r w:rsidRPr="00863D94">
        <w:rPr>
          <w:rFonts w:ascii="Times New Roman" w:hAnsi="Times New Roman"/>
          <w:sz w:val="28"/>
          <w:szCs w:val="28"/>
          <w:lang w:val="uk-UA"/>
        </w:rPr>
        <w:t>Кишинівських єпархіальних відомостей</w:t>
      </w:r>
      <w:r>
        <w:rPr>
          <w:rFonts w:ascii="Times New Roman" w:hAnsi="Times New Roman"/>
          <w:sz w:val="28"/>
          <w:szCs w:val="28"/>
          <w:lang w:val="uk-UA"/>
        </w:rPr>
        <w:t>»</w:t>
      </w:r>
      <w:r w:rsidRPr="00863D94">
        <w:rPr>
          <w:rFonts w:ascii="Times New Roman" w:hAnsi="Times New Roman"/>
          <w:sz w:val="28"/>
          <w:szCs w:val="28"/>
          <w:lang w:val="uk-UA"/>
        </w:rPr>
        <w:t xml:space="preserve"> ми знайшли чимало згадок про участь  та благодійну допомогу з боку дворянства місцевим духовним навчальним закладам та церковним установам.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В середині ХІХ ст. бессарабські аристократи виконували почесні обов'язки  піклувальників, про що інформували своїх читачів </w:t>
      </w:r>
      <w:r w:rsidRPr="00A12584">
        <w:rPr>
          <w:rFonts w:ascii="Times New Roman" w:hAnsi="Times New Roman"/>
          <w:sz w:val="28"/>
          <w:szCs w:val="28"/>
          <w:lang w:val="uk-UA"/>
        </w:rPr>
        <w:t>«</w:t>
      </w:r>
      <w:r w:rsidRPr="00863D94">
        <w:rPr>
          <w:rFonts w:ascii="Times New Roman" w:hAnsi="Times New Roman"/>
          <w:sz w:val="28"/>
          <w:szCs w:val="28"/>
          <w:lang w:val="uk-UA"/>
        </w:rPr>
        <w:t>Кишинівські єпархіальні відомості</w:t>
      </w:r>
      <w:r>
        <w:rPr>
          <w:rFonts w:ascii="Times New Roman" w:hAnsi="Times New Roman"/>
          <w:sz w:val="28"/>
          <w:szCs w:val="28"/>
          <w:lang w:val="uk-UA"/>
        </w:rPr>
        <w:t>»</w:t>
      </w:r>
      <w:r w:rsidRPr="00863D94">
        <w:rPr>
          <w:rFonts w:ascii="Times New Roman" w:hAnsi="Times New Roman"/>
          <w:sz w:val="28"/>
          <w:szCs w:val="28"/>
          <w:lang w:val="uk-UA"/>
        </w:rPr>
        <w:t xml:space="preserve"> практично в кожному з випусків.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З метою підтримки та популяризації благодійницької діяльності в єпархіях, Святіший Синод 13 травня 1870 р. видав розпорядження щодо благословення осіб, що пожертвували на користь церков, монастирів, каплиць, церковнопарафіяльних шкіл тощо певну суму.  Серед інших ми зустрічаємо прізвища світських осіб (дворянин Єгор Стоянов, поміщик Гаврила Катаказі,  дворянки  Олександра Кассо, Катерина Кочу, Смаранда Руссо).  Так дворянин Єгор Стоянов придбав ризу для священика за 150 руб.; поміщик Гаврила Катаказі подарував на розвиток церковнопарафіяльної школи  225 руб.; поміщик Михайло Геращиневський – виділив  109 руб. різних церковних речей; бессарабські поміщиці  надали одноразову допомогу: Олександра Кассо – 110 руб., Катерина Кочу – 115 руб., дворянка Смаранда Руссо – 1 000 руб.; губернський секретар Ігнатій Залевський – 674 </w:t>
      </w:r>
      <w:r w:rsidRPr="00B3696D">
        <w:rPr>
          <w:rFonts w:ascii="Times New Roman" w:hAnsi="Times New Roman"/>
          <w:sz w:val="28"/>
          <w:szCs w:val="28"/>
          <w:lang w:val="uk-UA"/>
        </w:rPr>
        <w:t>руб. [2, с. 359-363].</w:t>
      </w:r>
      <w:r w:rsidRPr="00863D94">
        <w:rPr>
          <w:rFonts w:ascii="Times New Roman" w:hAnsi="Times New Roman"/>
          <w:sz w:val="28"/>
          <w:szCs w:val="28"/>
          <w:lang w:val="uk-UA"/>
        </w:rPr>
        <w:t xml:space="preserve">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В цьому ж році часопис неодноразово згадував прізвище князя Стурдзи, який пожертвував на потреби Кишинівського духовного училища 300 руб</w:t>
      </w:r>
      <w:r w:rsidRPr="00FA7082">
        <w:rPr>
          <w:rFonts w:ascii="Times New Roman" w:hAnsi="Times New Roman"/>
          <w:sz w:val="28"/>
          <w:szCs w:val="28"/>
          <w:lang w:val="uk-UA"/>
        </w:rPr>
        <w:t>.  [</w:t>
      </w:r>
      <w:r w:rsidRPr="00B3696D">
        <w:rPr>
          <w:rFonts w:ascii="Times New Roman" w:hAnsi="Times New Roman"/>
          <w:sz w:val="28"/>
          <w:szCs w:val="28"/>
          <w:lang w:val="uk-UA"/>
        </w:rPr>
        <w:t>3, с. 73], а  власник містечка Єдинці (Хотинський повіт) статський радник</w:t>
      </w:r>
      <w:r w:rsidRPr="00863D94">
        <w:rPr>
          <w:rFonts w:ascii="Times New Roman" w:hAnsi="Times New Roman"/>
          <w:sz w:val="28"/>
          <w:szCs w:val="28"/>
          <w:lang w:val="uk-UA"/>
        </w:rPr>
        <w:t xml:space="preserve"> Петро Коз</w:t>
      </w:r>
      <w:r>
        <w:rPr>
          <w:rFonts w:ascii="Times New Roman" w:hAnsi="Times New Roman"/>
          <w:sz w:val="28"/>
          <w:szCs w:val="28"/>
          <w:lang w:val="uk-UA"/>
        </w:rPr>
        <w:t>і</w:t>
      </w:r>
      <w:r w:rsidRPr="00863D94">
        <w:rPr>
          <w:rFonts w:ascii="Times New Roman" w:hAnsi="Times New Roman"/>
          <w:sz w:val="28"/>
          <w:szCs w:val="28"/>
          <w:lang w:val="uk-UA"/>
        </w:rPr>
        <w:t xml:space="preserve">цин запропонував вигідні умови та дешеву землю для облаштування духовного училища в його містечку, до того ж обіцяв </w:t>
      </w:r>
      <w:r w:rsidRPr="00B3696D">
        <w:rPr>
          <w:rFonts w:ascii="Times New Roman" w:hAnsi="Times New Roman"/>
          <w:sz w:val="28"/>
          <w:szCs w:val="28"/>
          <w:lang w:val="uk-UA"/>
        </w:rPr>
        <w:t>подарувати 2 000 крб. сріблом на його будівництво [4, с. 303].</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25 грудня 1873 р. вийшов височайший рескрипт на ім'я міністра народної освіти графа Дмитра Толстого, в якому серед іншого зазначалося, що справа народної освіти в дусі православної віри є священною, а її підтримці </w:t>
      </w:r>
      <w:r w:rsidRPr="00A12584">
        <w:rPr>
          <w:rFonts w:ascii="Times New Roman" w:hAnsi="Times New Roman"/>
          <w:sz w:val="28"/>
          <w:szCs w:val="28"/>
          <w:lang w:val="uk-UA"/>
        </w:rPr>
        <w:t>«</w:t>
      </w:r>
      <w:r w:rsidRPr="00863D94">
        <w:rPr>
          <w:rFonts w:ascii="Times New Roman" w:hAnsi="Times New Roman"/>
          <w:sz w:val="28"/>
          <w:szCs w:val="28"/>
          <w:lang w:val="uk-UA"/>
        </w:rPr>
        <w:t>повинні слугувати не лише духовенство, а й всі освічені люди країни, особливо російське дворянство, яке завжди слугувало прикладом відданості суспільній справі</w:t>
      </w:r>
      <w:r>
        <w:rPr>
          <w:rFonts w:ascii="Times New Roman" w:hAnsi="Times New Roman"/>
          <w:sz w:val="28"/>
          <w:szCs w:val="28"/>
          <w:lang w:val="uk-UA"/>
        </w:rPr>
        <w:t>»</w:t>
      </w:r>
      <w:r w:rsidRPr="00863D94">
        <w:rPr>
          <w:rFonts w:ascii="Times New Roman" w:hAnsi="Times New Roman"/>
          <w:sz w:val="28"/>
          <w:szCs w:val="28"/>
          <w:lang w:val="uk-UA"/>
        </w:rPr>
        <w:t xml:space="preserve"> </w:t>
      </w:r>
      <w:r w:rsidRPr="00B3696D">
        <w:rPr>
          <w:rFonts w:ascii="Times New Roman" w:hAnsi="Times New Roman"/>
          <w:sz w:val="28"/>
          <w:szCs w:val="28"/>
          <w:lang w:val="uk-UA"/>
        </w:rPr>
        <w:t>[5, с. 51-52].</w:t>
      </w:r>
      <w:r w:rsidRPr="00863D94">
        <w:rPr>
          <w:rFonts w:ascii="Times New Roman" w:hAnsi="Times New Roman"/>
          <w:sz w:val="28"/>
          <w:szCs w:val="28"/>
          <w:lang w:val="uk-UA"/>
        </w:rPr>
        <w:t xml:space="preserve">   В рескрипті містилося звернення до місцевих предводителів дворянства, яким пропонувалося ставати піклувальниками навчальних закладів губернії.</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Всього у відомстві Кишинівської єпархії в 1888 р. було 80 церковнопарафіяльних шкіл, а на території Південної Бессарабії на цей час розташовувалося лише 11% від загальної кількості освітніх закладів цього рівня, в яких навчалося 334 </w:t>
      </w:r>
      <w:r w:rsidRPr="00B3696D">
        <w:rPr>
          <w:rFonts w:ascii="Times New Roman" w:hAnsi="Times New Roman"/>
          <w:sz w:val="28"/>
          <w:szCs w:val="28"/>
          <w:lang w:val="uk-UA"/>
        </w:rPr>
        <w:t>дитини [6].</w:t>
      </w:r>
      <w:r w:rsidRPr="00863D94">
        <w:rPr>
          <w:rFonts w:ascii="Times New Roman" w:hAnsi="Times New Roman"/>
          <w:sz w:val="28"/>
          <w:szCs w:val="28"/>
          <w:lang w:val="uk-UA"/>
        </w:rPr>
        <w:t xml:space="preserve">   </w:t>
      </w:r>
    </w:p>
    <w:p w:rsidR="0080244E" w:rsidRPr="00863D94"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 xml:space="preserve">Дворяни здійснювали допомогу не лише навчальним закладам Бессарабії. Вони активно займалися благодійницькою діяльністю по відношенню до місцевих храмів та монастирів. Так, священик Акерманського повіту повідомив, що гофмейстер двору його імператорської величності, світліший князь, Григорій Петрович Волконський, пожертвував на ремонт </w:t>
      </w:r>
      <w:r w:rsidRPr="00F707F8">
        <w:rPr>
          <w:rFonts w:ascii="Times New Roman" w:hAnsi="Times New Roman"/>
          <w:sz w:val="28"/>
          <w:szCs w:val="28"/>
          <w:lang w:val="uk-UA"/>
        </w:rPr>
        <w:t>Каменномостської церкви посада Турлак 300 руб. сріблом [7, с. 362].</w:t>
      </w:r>
      <w:r w:rsidRPr="00863D94">
        <w:rPr>
          <w:rFonts w:ascii="Times New Roman" w:hAnsi="Times New Roman"/>
          <w:sz w:val="28"/>
          <w:szCs w:val="28"/>
          <w:lang w:val="uk-UA"/>
        </w:rPr>
        <w:t xml:space="preserve"> Дворянка Ганна Іванівна Бонгардт подарувала церкві кишинівської в'язниці 100 крб., а дворянка Поліна Степанівна Макаревич тій же церкві </w:t>
      </w:r>
      <w:r w:rsidRPr="00F707F8">
        <w:rPr>
          <w:rFonts w:ascii="Times New Roman" w:hAnsi="Times New Roman"/>
          <w:sz w:val="28"/>
          <w:szCs w:val="28"/>
          <w:lang w:val="uk-UA"/>
        </w:rPr>
        <w:t>пожертвувала тканини на 5 крб. [8, с. 380]. Поміщик села Реди-Мар</w:t>
      </w:r>
      <w:r w:rsidRPr="00863D94">
        <w:rPr>
          <w:rFonts w:ascii="Times New Roman" w:hAnsi="Times New Roman"/>
          <w:sz w:val="28"/>
          <w:szCs w:val="28"/>
          <w:lang w:val="uk-UA"/>
        </w:rPr>
        <w:t xml:space="preserve"> Олександр Бржезовський побудував власним коштом церкву в одному з сіл Сорокського повіту Бессарабії. Протягом кількох десятків років він безпосередньо опікувався матеріальним станом цієї церкви, проводив ремонтні роботи, встановив огорожу, на що витратив власних коштів 750 руб.; а поміщиця Макрі з селища Старі Дубоссари (Кишинівський повіт) </w:t>
      </w:r>
      <w:r w:rsidRPr="00F707F8">
        <w:rPr>
          <w:rFonts w:ascii="Times New Roman" w:hAnsi="Times New Roman"/>
          <w:sz w:val="28"/>
          <w:szCs w:val="28"/>
          <w:lang w:val="uk-UA"/>
        </w:rPr>
        <w:t>пожертвувала на церковні потреби 377 руб. [9, с.19, 23].</w:t>
      </w:r>
    </w:p>
    <w:p w:rsidR="0080244E" w:rsidRDefault="0080244E" w:rsidP="00773C42">
      <w:pPr>
        <w:spacing w:after="0" w:line="360" w:lineRule="auto"/>
        <w:ind w:firstLine="567"/>
        <w:jc w:val="both"/>
        <w:rPr>
          <w:rFonts w:ascii="Times New Roman" w:hAnsi="Times New Roman"/>
          <w:sz w:val="28"/>
          <w:szCs w:val="28"/>
          <w:lang w:val="uk-UA"/>
        </w:rPr>
      </w:pPr>
      <w:r w:rsidRPr="00863D94">
        <w:rPr>
          <w:rFonts w:ascii="Times New Roman" w:hAnsi="Times New Roman"/>
          <w:sz w:val="28"/>
          <w:szCs w:val="28"/>
          <w:lang w:val="uk-UA"/>
        </w:rPr>
        <w:t>У 1874 р. допомога з боку дворян бессарабським це</w:t>
      </w:r>
      <w:r>
        <w:rPr>
          <w:rFonts w:ascii="Times New Roman" w:hAnsi="Times New Roman"/>
          <w:sz w:val="28"/>
          <w:szCs w:val="28"/>
          <w:lang w:val="uk-UA"/>
        </w:rPr>
        <w:t xml:space="preserve">рквам і монастирям продовжилася. Так, за наявної інформації </w:t>
      </w:r>
      <w:r w:rsidRPr="00863D94">
        <w:rPr>
          <w:rFonts w:ascii="Times New Roman" w:hAnsi="Times New Roman"/>
          <w:sz w:val="28"/>
          <w:szCs w:val="28"/>
          <w:lang w:val="uk-UA"/>
        </w:rPr>
        <w:t xml:space="preserve"> по Циганештському монастирю поміщик с. Реден Кишинівського повіту Іван Руссо подарував 20 сажен</w:t>
      </w:r>
      <w:r>
        <w:rPr>
          <w:rFonts w:ascii="Times New Roman" w:hAnsi="Times New Roman"/>
          <w:sz w:val="28"/>
          <w:szCs w:val="28"/>
          <w:lang w:val="uk-UA"/>
        </w:rPr>
        <w:t>ь</w:t>
      </w:r>
      <w:r w:rsidRPr="00863D94">
        <w:rPr>
          <w:rFonts w:ascii="Times New Roman" w:hAnsi="Times New Roman"/>
          <w:sz w:val="28"/>
          <w:szCs w:val="28"/>
          <w:lang w:val="uk-UA"/>
        </w:rPr>
        <w:t xml:space="preserve"> деревини на виготовлення цегли та  30 сажен</w:t>
      </w:r>
      <w:r>
        <w:rPr>
          <w:rFonts w:ascii="Times New Roman" w:hAnsi="Times New Roman"/>
          <w:sz w:val="28"/>
          <w:szCs w:val="28"/>
          <w:lang w:val="uk-UA"/>
        </w:rPr>
        <w:t>ь</w:t>
      </w:r>
      <w:r w:rsidRPr="00863D94">
        <w:rPr>
          <w:rFonts w:ascii="Times New Roman" w:hAnsi="Times New Roman"/>
          <w:sz w:val="28"/>
          <w:szCs w:val="28"/>
          <w:lang w:val="uk-UA"/>
        </w:rPr>
        <w:t xml:space="preserve">  для опалення всього монастиря протягом зимового часу. Загальні витрати аристократа становили 400 руб. </w:t>
      </w:r>
      <w:r>
        <w:rPr>
          <w:rFonts w:ascii="Times New Roman" w:hAnsi="Times New Roman"/>
          <w:sz w:val="28"/>
          <w:szCs w:val="28"/>
          <w:lang w:val="uk-UA"/>
        </w:rPr>
        <w:t xml:space="preserve">Окрім цього він ще подарував 50 сажень каменю  вартістю 200 руб. на будівництво нової церкви та келій, інший будівельний матеріал на 100 руб., а також продуктів на 40 руб. Загальний внесок І. Руссо на користь монастиря становив 740 руб.  Вазарештський монастир також знаходився під постійною опікою з боку аристократів. Лише за один рік на його утримання з їхнього боку було виділено наступні кошти та інші речі: поміщик с. Корбу Петро Броєско </w:t>
      </w:r>
      <w:r w:rsidRPr="00863D94">
        <w:rPr>
          <w:rFonts w:ascii="Times New Roman" w:hAnsi="Times New Roman"/>
          <w:sz w:val="28"/>
          <w:szCs w:val="28"/>
          <w:lang w:val="uk-UA"/>
        </w:rPr>
        <w:t>–</w:t>
      </w:r>
      <w:r>
        <w:rPr>
          <w:rFonts w:ascii="Times New Roman" w:hAnsi="Times New Roman"/>
          <w:sz w:val="28"/>
          <w:szCs w:val="28"/>
          <w:lang w:val="uk-UA"/>
        </w:rPr>
        <w:t xml:space="preserve"> 100 руб., дворянин Олександр Яні </w:t>
      </w:r>
      <w:r w:rsidRPr="00863D94">
        <w:rPr>
          <w:rFonts w:ascii="Times New Roman" w:hAnsi="Times New Roman"/>
          <w:sz w:val="28"/>
          <w:szCs w:val="28"/>
          <w:lang w:val="uk-UA"/>
        </w:rPr>
        <w:t>–</w:t>
      </w:r>
      <w:r>
        <w:rPr>
          <w:rFonts w:ascii="Times New Roman" w:hAnsi="Times New Roman"/>
          <w:sz w:val="28"/>
          <w:szCs w:val="28"/>
          <w:lang w:val="uk-UA"/>
        </w:rPr>
        <w:t xml:space="preserve"> 100 руб., поміщик Микола Черкез </w:t>
      </w:r>
      <w:r w:rsidRPr="00863D94">
        <w:rPr>
          <w:rFonts w:ascii="Times New Roman" w:hAnsi="Times New Roman"/>
          <w:sz w:val="28"/>
          <w:szCs w:val="28"/>
          <w:lang w:val="uk-UA"/>
        </w:rPr>
        <w:t>–</w:t>
      </w:r>
      <w:r>
        <w:rPr>
          <w:rFonts w:ascii="Times New Roman" w:hAnsi="Times New Roman"/>
          <w:sz w:val="28"/>
          <w:szCs w:val="28"/>
          <w:lang w:val="uk-UA"/>
        </w:rPr>
        <w:t xml:space="preserve"> 100 руб. Не відставала в цьому відношенні й жіноча частина шляхетного стану. Так, поміщиця Марія Негруца пожертвувала монастирю 100 руб. сріблом та передала в користування ченцям 12 книг життя святих молдавською мовою. Поміщиця Софія Катаржи подарувала Вазарештському монастирю срібну чашу вартістю в 200 руб., а поміщиця </w:t>
      </w:r>
      <w:r w:rsidRPr="00F707F8">
        <w:rPr>
          <w:rFonts w:ascii="Times New Roman" w:hAnsi="Times New Roman"/>
          <w:sz w:val="28"/>
          <w:szCs w:val="28"/>
          <w:lang w:val="uk-UA"/>
        </w:rPr>
        <w:t>Пульхерія Циганка різних церковних речей на 100 руб. [10, с.136-137].</w:t>
      </w:r>
    </w:p>
    <w:p w:rsidR="0080244E" w:rsidRDefault="0080244E" w:rsidP="00773C4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Дворяни Хотинського повіту Бессарабської губернії також не залишалися осторонь справи допомоги та благодійних справ по відношенню до православних церков краю. Місцевий поміщик  губернський секретар Георгій Чегударев зробив подарунок церкві села Чепеліуц.  Він складався з 90 руб. сріблом,  дорогоцінного Євангелія (молдавською мовою) в оксамитовій обкладинці тисненій золотом і сріблом, будівництва огорож навколо церкви та церковного цвинтаря  (загальна вартість робіт та матеріалів 240 руб.). Його дружина </w:t>
      </w:r>
      <w:r w:rsidRPr="00863D94">
        <w:rPr>
          <w:rFonts w:ascii="Times New Roman" w:hAnsi="Times New Roman"/>
          <w:sz w:val="28"/>
          <w:szCs w:val="28"/>
          <w:lang w:val="uk-UA"/>
        </w:rPr>
        <w:t>–</w:t>
      </w:r>
      <w:r>
        <w:rPr>
          <w:rFonts w:ascii="Times New Roman" w:hAnsi="Times New Roman"/>
          <w:sz w:val="28"/>
          <w:szCs w:val="28"/>
          <w:lang w:val="uk-UA"/>
        </w:rPr>
        <w:t xml:space="preserve"> поміщиця Еатерина Чегударева </w:t>
      </w:r>
      <w:r w:rsidRPr="00F707F8">
        <w:rPr>
          <w:rFonts w:ascii="Times New Roman" w:hAnsi="Times New Roman"/>
          <w:sz w:val="28"/>
          <w:szCs w:val="28"/>
          <w:lang w:val="uk-UA"/>
        </w:rPr>
        <w:t>пожертвувала на користь тієї ж церкви 70 руб. сріблом  [11, с. 346].</w:t>
      </w:r>
    </w:p>
    <w:p w:rsidR="0080244E" w:rsidRPr="00A54309" w:rsidRDefault="0080244E" w:rsidP="00773C42">
      <w:pPr>
        <w:spacing w:after="0" w:line="360" w:lineRule="auto"/>
        <w:ind w:firstLine="567"/>
        <w:jc w:val="both"/>
        <w:rPr>
          <w:rFonts w:ascii="Times New Roman" w:hAnsi="Times New Roman"/>
          <w:sz w:val="28"/>
          <w:szCs w:val="28"/>
        </w:rPr>
      </w:pPr>
      <w:r>
        <w:rPr>
          <w:rFonts w:ascii="Times New Roman" w:hAnsi="Times New Roman"/>
          <w:sz w:val="28"/>
          <w:szCs w:val="28"/>
          <w:lang w:val="uk-UA"/>
        </w:rPr>
        <w:t xml:space="preserve">В Ясському повіті камер-юнкер Георгій Ришкан пожертвував на ремонт церкви с. Боросени 300 руб. сріблом. Дворянин Дмитро Камболі виділив кошти на купівлю  ікони в срібній ризі, вартість якої перевищувала 400 руб. </w:t>
      </w:r>
      <w:r w:rsidRPr="00A54309">
        <w:rPr>
          <w:rFonts w:ascii="Times New Roman" w:hAnsi="Times New Roman"/>
          <w:sz w:val="28"/>
          <w:szCs w:val="28"/>
        </w:rPr>
        <w:t xml:space="preserve"> </w:t>
      </w:r>
      <w:r w:rsidRPr="00F707F8">
        <w:rPr>
          <w:rFonts w:ascii="Times New Roman" w:hAnsi="Times New Roman"/>
          <w:sz w:val="28"/>
          <w:szCs w:val="28"/>
          <w:lang w:val="uk-UA"/>
        </w:rPr>
        <w:t>[1</w:t>
      </w:r>
      <w:r>
        <w:rPr>
          <w:rFonts w:ascii="Times New Roman" w:hAnsi="Times New Roman"/>
          <w:sz w:val="28"/>
          <w:szCs w:val="28"/>
          <w:lang w:val="uk-UA"/>
        </w:rPr>
        <w:t>2</w:t>
      </w:r>
      <w:r w:rsidRPr="00F707F8">
        <w:rPr>
          <w:rFonts w:ascii="Times New Roman" w:hAnsi="Times New Roman"/>
          <w:sz w:val="28"/>
          <w:szCs w:val="28"/>
          <w:lang w:val="uk-UA"/>
        </w:rPr>
        <w:t>, с. 484].</w:t>
      </w:r>
    </w:p>
    <w:p w:rsidR="0080244E" w:rsidRDefault="0080244E" w:rsidP="00773C4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Цікаво, що допомогу православним церквам Бессарабії надавали не лише шляхетні представники відповідного віросповідання. Влітку 1874 р. було оголошено царську подяку та вручено грамоти особам, які не належали до православної віри:  </w:t>
      </w:r>
      <w:r w:rsidRPr="00A54309">
        <w:rPr>
          <w:rFonts w:ascii="Times New Roman" w:hAnsi="Times New Roman"/>
          <w:sz w:val="28"/>
          <w:szCs w:val="28"/>
        </w:rPr>
        <w:t>князю Григор</w:t>
      </w:r>
      <w:r>
        <w:rPr>
          <w:rFonts w:ascii="Times New Roman" w:hAnsi="Times New Roman"/>
          <w:sz w:val="28"/>
          <w:szCs w:val="28"/>
          <w:lang w:val="uk-UA"/>
        </w:rPr>
        <w:t>ію</w:t>
      </w:r>
      <w:r w:rsidRPr="00A54309">
        <w:rPr>
          <w:rFonts w:ascii="Times New Roman" w:hAnsi="Times New Roman"/>
          <w:sz w:val="28"/>
          <w:szCs w:val="28"/>
        </w:rPr>
        <w:t xml:space="preserve"> Манук-Бею </w:t>
      </w:r>
      <w:r>
        <w:rPr>
          <w:rFonts w:ascii="Times New Roman" w:hAnsi="Times New Roman"/>
          <w:sz w:val="28"/>
          <w:szCs w:val="28"/>
          <w:lang w:val="uk-UA"/>
        </w:rPr>
        <w:t>та</w:t>
      </w:r>
      <w:r w:rsidRPr="00A54309">
        <w:rPr>
          <w:rFonts w:ascii="Times New Roman" w:hAnsi="Times New Roman"/>
          <w:sz w:val="28"/>
          <w:szCs w:val="28"/>
        </w:rPr>
        <w:t xml:space="preserve"> землевла</w:t>
      </w:r>
      <w:r>
        <w:rPr>
          <w:rFonts w:ascii="Times New Roman" w:hAnsi="Times New Roman"/>
          <w:sz w:val="28"/>
          <w:szCs w:val="28"/>
          <w:lang w:val="uk-UA"/>
        </w:rPr>
        <w:t xml:space="preserve">сникам </w:t>
      </w:r>
      <w:r w:rsidRPr="00A54309">
        <w:rPr>
          <w:rFonts w:ascii="Times New Roman" w:hAnsi="Times New Roman"/>
          <w:sz w:val="28"/>
          <w:szCs w:val="28"/>
        </w:rPr>
        <w:t>Мардар</w:t>
      </w:r>
      <w:r>
        <w:rPr>
          <w:rFonts w:ascii="Times New Roman" w:hAnsi="Times New Roman"/>
          <w:sz w:val="28"/>
          <w:szCs w:val="28"/>
          <w:lang w:val="uk-UA"/>
        </w:rPr>
        <w:t>і</w:t>
      </w:r>
      <w:r w:rsidRPr="00A54309">
        <w:rPr>
          <w:rFonts w:ascii="Times New Roman" w:hAnsi="Times New Roman"/>
          <w:sz w:val="28"/>
          <w:szCs w:val="28"/>
        </w:rPr>
        <w:t>ю Назарову, Карпу Бал</w:t>
      </w:r>
      <w:r>
        <w:rPr>
          <w:rFonts w:ascii="Times New Roman" w:hAnsi="Times New Roman"/>
          <w:sz w:val="28"/>
          <w:szCs w:val="28"/>
          <w:lang w:val="uk-UA"/>
        </w:rPr>
        <w:t>і</w:t>
      </w:r>
      <w:r w:rsidRPr="00A54309">
        <w:rPr>
          <w:rFonts w:ascii="Times New Roman" w:hAnsi="Times New Roman"/>
          <w:sz w:val="28"/>
          <w:szCs w:val="28"/>
        </w:rPr>
        <w:t xml:space="preserve">озу, </w:t>
      </w:r>
      <w:r>
        <w:rPr>
          <w:rFonts w:ascii="Times New Roman" w:hAnsi="Times New Roman"/>
          <w:sz w:val="28"/>
          <w:szCs w:val="28"/>
          <w:lang w:val="uk-UA"/>
        </w:rPr>
        <w:t>І</w:t>
      </w:r>
      <w:r w:rsidRPr="00A54309">
        <w:rPr>
          <w:rFonts w:ascii="Times New Roman" w:hAnsi="Times New Roman"/>
          <w:sz w:val="28"/>
          <w:szCs w:val="28"/>
        </w:rPr>
        <w:t xml:space="preserve">вану Огоновичу, Христофору </w:t>
      </w:r>
      <w:r w:rsidRPr="00F707F8">
        <w:rPr>
          <w:rFonts w:ascii="Times New Roman" w:hAnsi="Times New Roman"/>
          <w:sz w:val="28"/>
          <w:szCs w:val="28"/>
        </w:rPr>
        <w:t xml:space="preserve">Фокшиняну, Христофору Анушу </w:t>
      </w:r>
      <w:r w:rsidRPr="00F707F8">
        <w:rPr>
          <w:rFonts w:ascii="Times New Roman" w:hAnsi="Times New Roman"/>
          <w:sz w:val="28"/>
          <w:szCs w:val="28"/>
          <w:lang w:val="uk-UA"/>
        </w:rPr>
        <w:t>та</w:t>
      </w:r>
      <w:r w:rsidRPr="00F707F8">
        <w:rPr>
          <w:rFonts w:ascii="Times New Roman" w:hAnsi="Times New Roman"/>
          <w:sz w:val="28"/>
          <w:szCs w:val="28"/>
        </w:rPr>
        <w:t xml:space="preserve"> колон</w:t>
      </w:r>
      <w:r w:rsidRPr="00F707F8">
        <w:rPr>
          <w:rFonts w:ascii="Times New Roman" w:hAnsi="Times New Roman"/>
          <w:sz w:val="28"/>
          <w:szCs w:val="28"/>
          <w:lang w:val="uk-UA"/>
        </w:rPr>
        <w:t>і</w:t>
      </w:r>
      <w:r w:rsidRPr="00F707F8">
        <w:rPr>
          <w:rFonts w:ascii="Times New Roman" w:hAnsi="Times New Roman"/>
          <w:sz w:val="28"/>
          <w:szCs w:val="28"/>
        </w:rPr>
        <w:t>сту Андр</w:t>
      </w:r>
      <w:r w:rsidRPr="00F707F8">
        <w:rPr>
          <w:rFonts w:ascii="Times New Roman" w:hAnsi="Times New Roman"/>
          <w:sz w:val="28"/>
          <w:szCs w:val="28"/>
          <w:lang w:val="uk-UA"/>
        </w:rPr>
        <w:t>і</w:t>
      </w:r>
      <w:r w:rsidRPr="00F707F8">
        <w:rPr>
          <w:rFonts w:ascii="Times New Roman" w:hAnsi="Times New Roman"/>
          <w:sz w:val="28"/>
          <w:szCs w:val="28"/>
        </w:rPr>
        <w:t>ю Файделен</w:t>
      </w:r>
      <w:r w:rsidRPr="00F707F8">
        <w:rPr>
          <w:rFonts w:ascii="Times New Roman" w:hAnsi="Times New Roman"/>
          <w:sz w:val="28"/>
          <w:szCs w:val="28"/>
          <w:lang w:val="uk-UA"/>
        </w:rPr>
        <w:t>у [13, с.321-323].</w:t>
      </w:r>
    </w:p>
    <w:p w:rsidR="0080244E" w:rsidRPr="000A343B" w:rsidRDefault="0080244E" w:rsidP="00773C4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Ми зупинилися на невеличкій частці наявного матеріалу, однак і він беззаперечно свідчить, що бессарабські дворяни були одними з найактивніших учасників благодійних заходів на території краю. </w:t>
      </w:r>
    </w:p>
    <w:p w:rsidR="0080244E" w:rsidRDefault="0080244E" w:rsidP="00773C42">
      <w:pPr>
        <w:spacing w:after="0" w:line="360" w:lineRule="auto"/>
        <w:ind w:firstLine="567"/>
        <w:jc w:val="center"/>
        <w:rPr>
          <w:rFonts w:ascii="Times New Roman" w:hAnsi="Times New Roman"/>
          <w:b/>
          <w:color w:val="000000"/>
          <w:sz w:val="28"/>
          <w:szCs w:val="28"/>
          <w:lang w:val="uk-UA"/>
        </w:rPr>
      </w:pPr>
    </w:p>
    <w:p w:rsidR="0080244E" w:rsidRPr="009E03A4" w:rsidRDefault="0080244E" w:rsidP="0087398D">
      <w:pPr>
        <w:spacing w:after="0" w:line="360" w:lineRule="auto"/>
        <w:ind w:firstLine="567"/>
        <w:rPr>
          <w:rFonts w:ascii="Times New Roman" w:hAnsi="Times New Roman"/>
          <w:b/>
          <w:color w:val="000000"/>
          <w:sz w:val="28"/>
          <w:szCs w:val="28"/>
          <w:lang w:val="uk-UA"/>
        </w:rPr>
      </w:pPr>
      <w:r w:rsidRPr="009E03A4">
        <w:rPr>
          <w:rFonts w:ascii="Times New Roman" w:hAnsi="Times New Roman"/>
          <w:b/>
          <w:color w:val="000000"/>
          <w:sz w:val="28"/>
          <w:szCs w:val="28"/>
          <w:lang w:val="uk-UA"/>
        </w:rPr>
        <w:t>Література:</w:t>
      </w:r>
    </w:p>
    <w:p w:rsidR="0080244E" w:rsidRPr="00B3696D" w:rsidRDefault="0080244E" w:rsidP="00773C42">
      <w:pPr>
        <w:pStyle w:val="Heading5"/>
        <w:spacing w:before="0" w:beforeAutospacing="0" w:after="0" w:afterAutospacing="0" w:line="360" w:lineRule="auto"/>
        <w:ind w:firstLine="567"/>
        <w:jc w:val="both"/>
        <w:rPr>
          <w:b w:val="0"/>
          <w:sz w:val="28"/>
          <w:szCs w:val="28"/>
          <w:lang w:val="uk-UA"/>
        </w:rPr>
      </w:pPr>
      <w:r w:rsidRPr="009E03A4">
        <w:rPr>
          <w:b w:val="0"/>
          <w:sz w:val="28"/>
          <w:szCs w:val="28"/>
          <w:lang w:val="uk-UA"/>
        </w:rPr>
        <w:t xml:space="preserve">1. </w:t>
      </w:r>
      <w:r w:rsidRPr="009E03A4">
        <w:rPr>
          <w:b w:val="0"/>
          <w:sz w:val="28"/>
          <w:szCs w:val="28"/>
        </w:rPr>
        <w:t>Гринчак М.О.</w:t>
      </w:r>
      <w:r w:rsidRPr="009E03A4">
        <w:rPr>
          <w:b w:val="0"/>
          <w:sz w:val="28"/>
          <w:szCs w:val="28"/>
          <w:lang w:val="uk-UA"/>
        </w:rPr>
        <w:t xml:space="preserve"> </w:t>
      </w:r>
      <w:r w:rsidRPr="009E03A4">
        <w:rPr>
          <w:b w:val="0"/>
          <w:sz w:val="28"/>
          <w:szCs w:val="28"/>
        </w:rPr>
        <w:t>Благодійна діяльність промисловців Півдня України у другій половині ХІХ – на початку ХХ ст.</w:t>
      </w:r>
      <w:r w:rsidRPr="009E03A4">
        <w:rPr>
          <w:b w:val="0"/>
          <w:sz w:val="28"/>
          <w:szCs w:val="28"/>
          <w:lang w:val="uk-UA"/>
        </w:rPr>
        <w:t xml:space="preserve">/ М.О. Гринчак / </w:t>
      </w:r>
      <w:r>
        <w:rPr>
          <w:b w:val="0"/>
          <w:sz w:val="28"/>
          <w:szCs w:val="28"/>
          <w:lang w:val="uk-UA"/>
        </w:rPr>
        <w:t xml:space="preserve">Режим доступу   </w:t>
      </w:r>
      <w:r>
        <w:rPr>
          <w:sz w:val="28"/>
          <w:szCs w:val="28"/>
          <w:lang w:val="uk-UA"/>
        </w:rPr>
        <w:t>–</w:t>
      </w:r>
      <w:r>
        <w:rPr>
          <w:b w:val="0"/>
          <w:sz w:val="28"/>
          <w:szCs w:val="28"/>
          <w:lang w:val="uk-UA"/>
        </w:rPr>
        <w:t xml:space="preserve"> </w:t>
      </w:r>
      <w:r w:rsidRPr="009E03A4">
        <w:rPr>
          <w:b w:val="0"/>
          <w:sz w:val="28"/>
          <w:szCs w:val="28"/>
          <w:lang w:val="uk-UA"/>
        </w:rPr>
        <w:t>http://ukrhist.at.ua/publ/21-1-0-435</w:t>
      </w:r>
    </w:p>
    <w:p w:rsidR="0080244E" w:rsidRPr="0089567C"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2</w:t>
      </w:r>
      <w:r w:rsidRPr="0089567C">
        <w:rPr>
          <w:rFonts w:ascii="Times New Roman" w:hAnsi="Times New Roman"/>
          <w:sz w:val="28"/>
          <w:szCs w:val="28"/>
          <w:lang w:val="uk-UA"/>
        </w:rPr>
        <w:t>. 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1870. </w:t>
      </w:r>
      <w:r>
        <w:rPr>
          <w:rFonts w:ascii="Times New Roman" w:hAnsi="Times New Roman"/>
          <w:sz w:val="28"/>
          <w:szCs w:val="28"/>
          <w:lang w:val="uk-UA"/>
        </w:rPr>
        <w:t>–</w:t>
      </w:r>
      <w:r w:rsidRPr="0089567C">
        <w:rPr>
          <w:rFonts w:ascii="Times New Roman" w:hAnsi="Times New Roman"/>
          <w:sz w:val="28"/>
          <w:szCs w:val="28"/>
          <w:lang w:val="uk-UA"/>
        </w:rPr>
        <w:t xml:space="preserve"> № 12. </w:t>
      </w:r>
      <w:r>
        <w:rPr>
          <w:rFonts w:ascii="Times New Roman" w:hAnsi="Times New Roman"/>
          <w:sz w:val="28"/>
          <w:szCs w:val="28"/>
          <w:lang w:val="uk-UA"/>
        </w:rPr>
        <w:t>–</w:t>
      </w:r>
      <w:r w:rsidRPr="0089567C">
        <w:rPr>
          <w:rFonts w:ascii="Times New Roman" w:hAnsi="Times New Roman"/>
          <w:sz w:val="28"/>
          <w:szCs w:val="28"/>
          <w:lang w:val="uk-UA"/>
        </w:rPr>
        <w:t xml:space="preserve"> С. 359-363.</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3.</w:t>
      </w:r>
      <w:r w:rsidRPr="0089567C">
        <w:rPr>
          <w:rFonts w:ascii="Times New Roman" w:hAnsi="Times New Roman"/>
          <w:sz w:val="28"/>
          <w:szCs w:val="28"/>
          <w:lang w:val="uk-UA"/>
        </w:rPr>
        <w:t xml:space="preserve"> 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1870.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6. – С. 73.</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4.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2</w:t>
      </w:r>
      <w:r w:rsidRPr="0089567C">
        <w:rPr>
          <w:rFonts w:ascii="Times New Roman" w:hAnsi="Times New Roman"/>
          <w:sz w:val="28"/>
          <w:szCs w:val="28"/>
          <w:lang w:val="uk-UA"/>
        </w:rPr>
        <w:t>.</w:t>
      </w:r>
      <w:r w:rsidRPr="00B3696D">
        <w:rPr>
          <w:rFonts w:ascii="Times New Roman" w:hAnsi="Times New Roman"/>
          <w:sz w:val="28"/>
          <w:szCs w:val="28"/>
          <w:lang w:val="uk-UA"/>
        </w:rPr>
        <w:t xml:space="preserve"> </w:t>
      </w:r>
      <w:r>
        <w:rPr>
          <w:rFonts w:ascii="Times New Roman" w:hAnsi="Times New Roman"/>
          <w:sz w:val="28"/>
          <w:szCs w:val="28"/>
          <w:lang w:val="uk-UA"/>
        </w:rPr>
        <w:t xml:space="preserve">– </w:t>
      </w:r>
      <w:r w:rsidRPr="0089567C">
        <w:rPr>
          <w:rFonts w:ascii="Times New Roman" w:hAnsi="Times New Roman"/>
          <w:sz w:val="28"/>
          <w:szCs w:val="28"/>
          <w:lang w:val="uk-UA"/>
        </w:rPr>
        <w:t>№</w:t>
      </w:r>
      <w:r>
        <w:rPr>
          <w:rFonts w:ascii="Times New Roman" w:hAnsi="Times New Roman"/>
          <w:sz w:val="28"/>
          <w:szCs w:val="28"/>
          <w:lang w:val="uk-UA"/>
        </w:rPr>
        <w:t xml:space="preserve"> 13. – С. 303.</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5.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 xml:space="preserve">– </w:t>
      </w:r>
      <w:r w:rsidRPr="0089567C">
        <w:rPr>
          <w:rFonts w:ascii="Times New Roman" w:hAnsi="Times New Roman"/>
          <w:sz w:val="28"/>
          <w:szCs w:val="28"/>
          <w:lang w:val="uk-UA"/>
        </w:rPr>
        <w:t xml:space="preserve"> №</w:t>
      </w:r>
      <w:r>
        <w:rPr>
          <w:rFonts w:ascii="Times New Roman" w:hAnsi="Times New Roman"/>
          <w:sz w:val="28"/>
          <w:szCs w:val="28"/>
          <w:lang w:val="uk-UA"/>
        </w:rPr>
        <w:t xml:space="preserve"> 4. – С. 50-52.</w:t>
      </w:r>
    </w:p>
    <w:p w:rsidR="0080244E" w:rsidRDefault="0080244E" w:rsidP="00773C4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6. Кишин</w:t>
      </w:r>
      <w:r>
        <w:rPr>
          <w:rFonts w:ascii="Times New Roman" w:hAnsi="Times New Roman"/>
          <w:sz w:val="28"/>
          <w:szCs w:val="28"/>
        </w:rPr>
        <w:t>евские епархиальные ведомости.</w:t>
      </w:r>
      <w:r w:rsidRPr="00B3696D">
        <w:rPr>
          <w:rFonts w:ascii="Times New Roman" w:hAnsi="Times New Roman"/>
          <w:sz w:val="28"/>
          <w:szCs w:val="28"/>
          <w:lang w:val="uk-UA"/>
        </w:rPr>
        <w:t xml:space="preserve"> </w:t>
      </w:r>
      <w:r>
        <w:rPr>
          <w:rFonts w:ascii="Times New Roman" w:hAnsi="Times New Roman"/>
          <w:sz w:val="28"/>
          <w:szCs w:val="28"/>
          <w:lang w:val="uk-UA"/>
        </w:rPr>
        <w:t xml:space="preserve">– 1888. – № 24. – С. </w:t>
      </w:r>
      <w:r w:rsidRPr="00B3696D">
        <w:rPr>
          <w:rFonts w:ascii="Times New Roman" w:hAnsi="Times New Roman"/>
          <w:sz w:val="28"/>
          <w:szCs w:val="28"/>
          <w:lang w:val="uk-UA"/>
        </w:rPr>
        <w:t>898-914.</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7.</w:t>
      </w:r>
      <w:r w:rsidRPr="009A0247">
        <w:rPr>
          <w:rFonts w:ascii="Times New Roman" w:hAnsi="Times New Roman"/>
          <w:sz w:val="28"/>
          <w:szCs w:val="28"/>
          <w:lang w:val="uk-UA"/>
        </w:rPr>
        <w:t xml:space="preserve">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2</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16. – С. 362.</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8.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2</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17. – С. 380.</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9.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2. – С. 19-26.</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10.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7. – С. 135-138.</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11.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17. – С. 346.</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12.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24. – С. 484.</w:t>
      </w:r>
    </w:p>
    <w:p w:rsidR="0080244E" w:rsidRDefault="0080244E" w:rsidP="00773C42">
      <w:pPr>
        <w:spacing w:after="0" w:line="360" w:lineRule="auto"/>
        <w:ind w:firstLine="567"/>
        <w:rPr>
          <w:rFonts w:ascii="Times New Roman" w:hAnsi="Times New Roman"/>
          <w:sz w:val="28"/>
          <w:szCs w:val="28"/>
          <w:lang w:val="uk-UA"/>
        </w:rPr>
      </w:pPr>
      <w:r>
        <w:rPr>
          <w:rFonts w:ascii="Times New Roman" w:hAnsi="Times New Roman"/>
          <w:sz w:val="28"/>
          <w:szCs w:val="28"/>
          <w:lang w:val="uk-UA"/>
        </w:rPr>
        <w:t xml:space="preserve">13. </w:t>
      </w:r>
      <w:r w:rsidRPr="0089567C">
        <w:rPr>
          <w:rFonts w:ascii="Times New Roman" w:hAnsi="Times New Roman"/>
          <w:sz w:val="28"/>
          <w:szCs w:val="28"/>
          <w:lang w:val="uk-UA"/>
        </w:rPr>
        <w:t>Кишин</w:t>
      </w:r>
      <w:r w:rsidRPr="0089567C">
        <w:rPr>
          <w:rFonts w:ascii="Times New Roman" w:hAnsi="Times New Roman"/>
          <w:sz w:val="28"/>
          <w:szCs w:val="28"/>
        </w:rPr>
        <w:t>евские епархиальные ведомости.</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187</w:t>
      </w:r>
      <w:r>
        <w:rPr>
          <w:rFonts w:ascii="Times New Roman" w:hAnsi="Times New Roman"/>
          <w:sz w:val="28"/>
          <w:szCs w:val="28"/>
          <w:lang w:val="uk-UA"/>
        </w:rPr>
        <w:t>4</w:t>
      </w:r>
      <w:r w:rsidRPr="0089567C">
        <w:rPr>
          <w:rFonts w:ascii="Times New Roman" w:hAnsi="Times New Roman"/>
          <w:sz w:val="28"/>
          <w:szCs w:val="28"/>
          <w:lang w:val="uk-UA"/>
        </w:rPr>
        <w:t xml:space="preserve">. </w:t>
      </w:r>
      <w:r>
        <w:rPr>
          <w:rFonts w:ascii="Times New Roman" w:hAnsi="Times New Roman"/>
          <w:sz w:val="28"/>
          <w:szCs w:val="28"/>
          <w:lang w:val="uk-UA"/>
        </w:rPr>
        <w:t>–</w:t>
      </w:r>
      <w:r w:rsidRPr="0089567C">
        <w:rPr>
          <w:rFonts w:ascii="Times New Roman" w:hAnsi="Times New Roman"/>
          <w:sz w:val="28"/>
          <w:szCs w:val="28"/>
          <w:lang w:val="uk-UA"/>
        </w:rPr>
        <w:t xml:space="preserve"> №</w:t>
      </w:r>
      <w:r>
        <w:rPr>
          <w:rFonts w:ascii="Times New Roman" w:hAnsi="Times New Roman"/>
          <w:sz w:val="28"/>
          <w:szCs w:val="28"/>
          <w:lang w:val="uk-UA"/>
        </w:rPr>
        <w:t xml:space="preserve"> 15. – С. 321-323.</w:t>
      </w:r>
    </w:p>
    <w:p w:rsidR="0080244E" w:rsidRDefault="0080244E" w:rsidP="00773C42">
      <w:pPr>
        <w:spacing w:after="0" w:line="360" w:lineRule="auto"/>
        <w:ind w:firstLine="567"/>
        <w:jc w:val="both"/>
        <w:rPr>
          <w:rFonts w:ascii="Times New Roman" w:hAnsi="Times New Roman"/>
          <w:sz w:val="28"/>
          <w:szCs w:val="28"/>
          <w:lang w:val="uk-UA"/>
        </w:rPr>
      </w:pPr>
    </w:p>
    <w:p w:rsidR="0080244E" w:rsidRDefault="0080244E" w:rsidP="00773C42">
      <w:pPr>
        <w:spacing w:after="0" w:line="360" w:lineRule="auto"/>
        <w:ind w:firstLine="567"/>
        <w:jc w:val="right"/>
        <w:rPr>
          <w:rFonts w:ascii="Times New Roman" w:hAnsi="Times New Roman"/>
          <w:sz w:val="28"/>
          <w:szCs w:val="28"/>
          <w:lang w:val="uk-UA"/>
        </w:rPr>
      </w:pPr>
      <w:r>
        <w:rPr>
          <w:rFonts w:ascii="Times New Roman" w:hAnsi="Times New Roman"/>
          <w:sz w:val="28"/>
          <w:szCs w:val="28"/>
          <w:lang w:val="uk-UA"/>
        </w:rPr>
        <w:t>Науковий керівник: д.і.н., проф. Циганенко Л.Ф.</w:t>
      </w:r>
    </w:p>
    <w:p w:rsidR="0080244E" w:rsidRDefault="0080244E" w:rsidP="00773C42">
      <w:pPr>
        <w:spacing w:after="0" w:line="360" w:lineRule="auto"/>
        <w:ind w:firstLine="567"/>
        <w:jc w:val="right"/>
        <w:rPr>
          <w:rFonts w:ascii="Times New Roman" w:hAnsi="Times New Roman"/>
          <w:sz w:val="28"/>
          <w:szCs w:val="28"/>
          <w:lang w:val="uk-UA"/>
        </w:rPr>
      </w:pPr>
    </w:p>
    <w:p w:rsidR="0080244E" w:rsidRDefault="0080244E" w:rsidP="00773C42">
      <w:pPr>
        <w:spacing w:after="0" w:line="360" w:lineRule="auto"/>
        <w:ind w:firstLine="567"/>
        <w:jc w:val="right"/>
        <w:rPr>
          <w:rFonts w:ascii="Times New Roman" w:hAnsi="Times New Roman"/>
          <w:sz w:val="28"/>
          <w:szCs w:val="28"/>
          <w:lang w:val="uk-UA"/>
        </w:rPr>
      </w:pPr>
    </w:p>
    <w:p w:rsidR="0080244E" w:rsidRDefault="0080244E" w:rsidP="00773C42">
      <w:pPr>
        <w:spacing w:after="0" w:line="360" w:lineRule="auto"/>
        <w:ind w:firstLine="567"/>
        <w:jc w:val="right"/>
        <w:rPr>
          <w:rFonts w:ascii="Times New Roman" w:hAnsi="Times New Roman"/>
          <w:sz w:val="28"/>
          <w:szCs w:val="28"/>
          <w:lang w:val="uk-UA"/>
        </w:rPr>
      </w:pPr>
    </w:p>
    <w:p w:rsidR="0080244E" w:rsidRPr="00773C42" w:rsidRDefault="0080244E">
      <w:pPr>
        <w:rPr>
          <w:lang w:val="uk-UA"/>
        </w:rPr>
      </w:pPr>
    </w:p>
    <w:sectPr w:rsidR="0080244E" w:rsidRPr="00773C42" w:rsidSect="00FA70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3C42"/>
    <w:rsid w:val="000A343B"/>
    <w:rsid w:val="00305548"/>
    <w:rsid w:val="00416D45"/>
    <w:rsid w:val="00730600"/>
    <w:rsid w:val="00773C42"/>
    <w:rsid w:val="0080244E"/>
    <w:rsid w:val="00863D94"/>
    <w:rsid w:val="0087398D"/>
    <w:rsid w:val="0089567C"/>
    <w:rsid w:val="009A0247"/>
    <w:rsid w:val="009E03A4"/>
    <w:rsid w:val="00A12584"/>
    <w:rsid w:val="00A54309"/>
    <w:rsid w:val="00A86FF5"/>
    <w:rsid w:val="00B3696D"/>
    <w:rsid w:val="00C8094F"/>
    <w:rsid w:val="00F707F8"/>
    <w:rsid w:val="00FA708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FF5"/>
    <w:pPr>
      <w:spacing w:after="200" w:line="276" w:lineRule="auto"/>
    </w:pPr>
    <w:rPr>
      <w:lang w:val="ru-RU" w:eastAsia="ru-RU"/>
    </w:rPr>
  </w:style>
  <w:style w:type="paragraph" w:styleId="Heading5">
    <w:name w:val="heading 5"/>
    <w:basedOn w:val="Normal"/>
    <w:link w:val="Heading5Char"/>
    <w:uiPriority w:val="99"/>
    <w:qFormat/>
    <w:rsid w:val="00773C42"/>
    <w:pPr>
      <w:spacing w:before="100" w:beforeAutospacing="1" w:after="100" w:afterAutospacing="1" w:line="240" w:lineRule="auto"/>
      <w:outlineLvl w:val="4"/>
    </w:pPr>
    <w:rPr>
      <w:rFonts w:ascii="Times New Roman"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773C42"/>
    <w:rPr>
      <w:rFonts w:ascii="Times New Roman" w:hAnsi="Times New Roman" w:cs="Times New Roman"/>
      <w:b/>
      <w:bCs/>
      <w:sz w:val="20"/>
      <w:szCs w:val="20"/>
    </w:rPr>
  </w:style>
  <w:style w:type="character" w:styleId="Hyperlink">
    <w:name w:val="Hyperlink"/>
    <w:basedOn w:val="DefaultParagraphFont"/>
    <w:uiPriority w:val="99"/>
    <w:rsid w:val="00773C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5643</Words>
  <Characters>3218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2014-03-28T09:48:00Z</dcterms:created>
  <dcterms:modified xsi:type="dcterms:W3CDTF">2014-03-28T10:28:00Z</dcterms:modified>
</cp:coreProperties>
</file>