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7C0" w:rsidRPr="005E40C9" w:rsidRDefault="004F67C0" w:rsidP="005E40C9">
      <w:pPr>
        <w:spacing w:after="0" w:line="360" w:lineRule="auto"/>
        <w:contextualSpacing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5E40C9">
        <w:rPr>
          <w:rFonts w:ascii="Times New Roman" w:hAnsi="Times New Roman"/>
          <w:b/>
          <w:sz w:val="28"/>
          <w:szCs w:val="28"/>
        </w:rPr>
        <w:t>Ирина Ляшко</w:t>
      </w:r>
      <w:r w:rsidRPr="005E40C9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Pr="005E40C9">
        <w:rPr>
          <w:rFonts w:ascii="Times New Roman" w:hAnsi="Times New Roman"/>
          <w:b/>
          <w:color w:val="000000"/>
          <w:sz w:val="28"/>
          <w:szCs w:val="28"/>
        </w:rPr>
        <w:t>Елена</w:t>
      </w:r>
      <w:r w:rsidRPr="005E40C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5E40C9">
        <w:rPr>
          <w:rFonts w:ascii="Times New Roman" w:hAnsi="Times New Roman"/>
          <w:b/>
          <w:color w:val="000000"/>
          <w:sz w:val="28"/>
          <w:szCs w:val="28"/>
        </w:rPr>
        <w:t>Еременко</w:t>
      </w:r>
    </w:p>
    <w:p w:rsidR="004F67C0" w:rsidRPr="005E40C9" w:rsidRDefault="004F67C0" w:rsidP="005E40C9">
      <w:pPr>
        <w:spacing w:after="0" w:line="240" w:lineRule="auto"/>
        <w:ind w:left="-540" w:firstLine="540"/>
        <w:contextualSpacing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5E40C9">
        <w:rPr>
          <w:rFonts w:ascii="Times New Roman" w:hAnsi="Times New Roman"/>
          <w:b/>
          <w:color w:val="000000"/>
          <w:sz w:val="28"/>
          <w:szCs w:val="28"/>
        </w:rPr>
        <w:t>(Мариуполь, Украина</w:t>
      </w:r>
      <w:r w:rsidRPr="005E40C9">
        <w:rPr>
          <w:rFonts w:ascii="Times New Roman" w:hAnsi="Times New Roman"/>
          <w:b/>
          <w:color w:val="000000"/>
          <w:sz w:val="28"/>
          <w:szCs w:val="28"/>
          <w:lang w:val="uk-UA"/>
        </w:rPr>
        <w:t>)</w:t>
      </w:r>
    </w:p>
    <w:p w:rsidR="004F67C0" w:rsidRPr="00967E72" w:rsidRDefault="004F67C0" w:rsidP="005E40C9">
      <w:pPr>
        <w:spacing w:after="0" w:line="240" w:lineRule="auto"/>
        <w:ind w:left="-540" w:firstLine="540"/>
        <w:contextualSpacing/>
        <w:jc w:val="right"/>
        <w:rPr>
          <w:rFonts w:ascii="Times New Roman" w:hAnsi="Times New Roman"/>
          <w:i/>
          <w:color w:val="000000"/>
          <w:sz w:val="28"/>
          <w:szCs w:val="28"/>
          <w:lang w:val="uk-UA"/>
        </w:rPr>
      </w:pPr>
    </w:p>
    <w:p w:rsidR="004F67C0" w:rsidRDefault="004F67C0" w:rsidP="005E40C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ЭФФЕКТИВНОСТЬ ТЕЛЕВИЗИОННОЙ РЕКЛАМЫ И КРИТЕРИИ ОЦЕНКИ</w:t>
      </w:r>
    </w:p>
    <w:p w:rsidR="004F67C0" w:rsidRPr="005E40C9" w:rsidRDefault="004F67C0" w:rsidP="005E40C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F67C0" w:rsidRDefault="004F67C0" w:rsidP="005E40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Реклама на телевидении является оптимальным средством для продвижения простых продуктов массового потребления, за счет широкого охвата телезрителей и возможности комплексного воздействия на них.</w:t>
      </w:r>
    </w:p>
    <w:p w:rsidR="004F67C0" w:rsidRPr="00967E72" w:rsidRDefault="004F67C0" w:rsidP="005E40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условиях конкуренции недостаточно произвести хороший товар, обеспечить маркетинг, распределить продукцию, разрекламировать её и продать. Даже очень хороший продукт может «не найти покупателя», если производитель использует неэффективную рекламу. Поэтому, пока существует реклама, проблема её эффективности будет актуальна.Исследованию эффективности телевизионной рекламы были </w:t>
      </w:r>
      <w:r w:rsidRPr="00967E72">
        <w:rPr>
          <w:rFonts w:ascii="Times New Roman" w:hAnsi="Times New Roman"/>
          <w:sz w:val="28"/>
          <w:szCs w:val="28"/>
        </w:rPr>
        <w:t xml:space="preserve"> посвящены работы у</w:t>
      </w:r>
      <w:r>
        <w:rPr>
          <w:rFonts w:ascii="Times New Roman" w:hAnsi="Times New Roman"/>
          <w:sz w:val="28"/>
          <w:szCs w:val="28"/>
        </w:rPr>
        <w:t xml:space="preserve">ченых  Анащенко Н., Антипова К., Балабанова А., Волковой А., Гермогеновой Л., </w:t>
      </w:r>
      <w:r>
        <w:rPr>
          <w:rFonts w:ascii="Times New Roman" w:hAnsi="Times New Roman"/>
          <w:sz w:val="28"/>
          <w:szCs w:val="28"/>
          <w:lang w:val="uk-UA"/>
        </w:rPr>
        <w:t>Лук</w:t>
      </w:r>
      <w:r>
        <w:rPr>
          <w:rFonts w:ascii="Times New Roman" w:hAnsi="Times New Roman"/>
          <w:sz w:val="28"/>
          <w:szCs w:val="28"/>
        </w:rPr>
        <w:t>ъ</w:t>
      </w:r>
      <w:r>
        <w:rPr>
          <w:rFonts w:ascii="Times New Roman" w:hAnsi="Times New Roman"/>
          <w:sz w:val="28"/>
          <w:szCs w:val="28"/>
          <w:lang w:val="uk-UA"/>
        </w:rPr>
        <w:t>янец Т.И.,Поповой Ж.Г.,</w:t>
      </w:r>
      <w:r>
        <w:rPr>
          <w:rFonts w:ascii="Times New Roman" w:hAnsi="Times New Roman"/>
          <w:sz w:val="28"/>
          <w:szCs w:val="28"/>
        </w:rPr>
        <w:t>Ромат Е.В.</w:t>
      </w:r>
    </w:p>
    <w:p w:rsidR="004F67C0" w:rsidRPr="00967E72" w:rsidRDefault="004F67C0" w:rsidP="005E40C9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Целью исследования являетсявыявление и анализ основных</w:t>
      </w:r>
      <w:r w:rsidRPr="00EA3FE4">
        <w:rPr>
          <w:rFonts w:ascii="Times New Roman" w:hAnsi="Times New Roman"/>
          <w:sz w:val="28"/>
          <w:szCs w:val="28"/>
        </w:rPr>
        <w:t>методов оценки эффективности распространенных видов телевизионной рекламы.</w:t>
      </w:r>
    </w:p>
    <w:p w:rsidR="004F67C0" w:rsidRDefault="004F67C0" w:rsidP="005E40C9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Реклама, как известно, двигатель торговли. Без неё не обходится ни одно предприятие, фирма, событие и даже начинание. Но наиболее эффективный способ размещения рекламы – это реклама на телевидении. В отличие от других средств массовой информации телевидение дает возможность размещения не просто модуля, а описания свойств и качеств товара.</w:t>
      </w:r>
    </w:p>
    <w:p w:rsidR="004F67C0" w:rsidRPr="0013536C" w:rsidRDefault="004F67C0" w:rsidP="005E40C9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Телевидение является рентабельным средством размещения рекламной информации, так вопреки высокому уровню общих издержек, массовость аудитории в конечном счете дает относительно невысокий показатель стоимости в расчете на тысячу зрителей. Кроме того, размещенная реклама на телевидении может успешно повлиять на рост репутации, уважения и лояльности клиентов.[1, c.</w:t>
      </w:r>
      <w:r w:rsidRPr="0013536C">
        <w:rPr>
          <w:rFonts w:ascii="Times New Roman" w:hAnsi="Times New Roman"/>
          <w:sz w:val="28"/>
          <w:szCs w:val="28"/>
        </w:rPr>
        <w:t>95]</w:t>
      </w:r>
    </w:p>
    <w:p w:rsidR="004F67C0" w:rsidRDefault="004F67C0" w:rsidP="005E40C9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 наиболее распространенным видам телерекламы можно отнести:</w:t>
      </w:r>
    </w:p>
    <w:p w:rsidR="004F67C0" w:rsidRDefault="004F67C0" w:rsidP="005E40C9">
      <w:pPr>
        <w:pStyle w:val="ListParagraph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Прямая реклама  (телеролик, блиц-ролик, развернутый ролик, телеобъявления, телезаставки).</w:t>
      </w:r>
    </w:p>
    <w:p w:rsidR="004F67C0" w:rsidRDefault="004F67C0" w:rsidP="005E40C9">
      <w:pPr>
        <w:pStyle w:val="ListParagraph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Спонсорство – телереклама, интегрированная в передачу в виде рекламных заставок.</w:t>
      </w:r>
    </w:p>
    <w:p w:rsidR="004F67C0" w:rsidRDefault="004F67C0" w:rsidP="005E40C9">
      <w:pPr>
        <w:pStyle w:val="ListParagraph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ProductPlacement</w:t>
      </w:r>
      <w:r>
        <w:rPr>
          <w:rFonts w:ascii="Times New Roman" w:hAnsi="Times New Roman"/>
          <w:sz w:val="28"/>
          <w:szCs w:val="28"/>
        </w:rPr>
        <w:t>–органичное внедрение телерекламы товара в сюжетную ткань фильма.</w:t>
      </w:r>
      <w:r w:rsidRPr="0013536C">
        <w:rPr>
          <w:rFonts w:ascii="Times New Roman" w:hAnsi="Times New Roman"/>
          <w:sz w:val="28"/>
          <w:szCs w:val="28"/>
        </w:rPr>
        <w:t>[2,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13536C">
        <w:rPr>
          <w:rFonts w:ascii="Times New Roman" w:hAnsi="Times New Roman"/>
          <w:sz w:val="28"/>
          <w:szCs w:val="28"/>
        </w:rPr>
        <w:t>.193]</w:t>
      </w:r>
    </w:p>
    <w:p w:rsidR="004F67C0" w:rsidRPr="00C73FED" w:rsidRDefault="004F67C0" w:rsidP="005E40C9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Исследуя эффективность телевизионной рекламы, важно учитывать её коммуникативный аспект. Рекламная компания может считаться успешной и эффективной, если </w:t>
      </w:r>
      <w:r w:rsidRPr="00E17A02">
        <w:rPr>
          <w:rFonts w:ascii="Times New Roman" w:hAnsi="Times New Roman"/>
          <w:sz w:val="28"/>
          <w:szCs w:val="28"/>
        </w:rPr>
        <w:t>она</w:t>
      </w:r>
      <w:r>
        <w:rPr>
          <w:rFonts w:ascii="Times New Roman" w:hAnsi="Times New Roman"/>
          <w:sz w:val="28"/>
          <w:szCs w:val="28"/>
        </w:rPr>
        <w:t>достигла свои коммуникативные цели. Другими словами, если реклама выполнила три основные функции: формирование рекламным сообщением знаний о компании, её товарах и услугах - на когнитивном уровне, создание позитивного отношения к ней – на  аффективном уровне, а также на побуждение потребителя вступить в контакт с компанией, приобрести её товар или услуги – на конативном уровне.</w:t>
      </w:r>
      <w:r w:rsidRPr="000579F6">
        <w:rPr>
          <w:rFonts w:ascii="Times New Roman" w:hAnsi="Times New Roman"/>
          <w:sz w:val="28"/>
          <w:szCs w:val="28"/>
        </w:rPr>
        <w:t>[</w:t>
      </w:r>
      <w:r w:rsidRPr="00C73FED">
        <w:rPr>
          <w:rFonts w:ascii="Times New Roman" w:hAnsi="Times New Roman"/>
          <w:sz w:val="28"/>
          <w:szCs w:val="28"/>
        </w:rPr>
        <w:t>4,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C73FED">
        <w:rPr>
          <w:rFonts w:ascii="Times New Roman" w:hAnsi="Times New Roman"/>
          <w:sz w:val="28"/>
          <w:szCs w:val="28"/>
        </w:rPr>
        <w:t>.96]</w:t>
      </w:r>
    </w:p>
    <w:p w:rsidR="004F67C0" w:rsidRDefault="004F67C0" w:rsidP="005E40C9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Рассмотрим частные методы оценки эффективности телевизионной рекламы. Из них можно выделить: метод</w:t>
      </w:r>
      <w:r>
        <w:rPr>
          <w:rFonts w:ascii="Times New Roman" w:hAnsi="Times New Roman"/>
          <w:sz w:val="28"/>
          <w:szCs w:val="28"/>
          <w:lang w:val="en-US"/>
        </w:rPr>
        <w:t>BAAR</w:t>
      </w:r>
      <w:r>
        <w:rPr>
          <w:rFonts w:ascii="Times New Roman" w:hAnsi="Times New Roman"/>
          <w:sz w:val="28"/>
          <w:szCs w:val="28"/>
        </w:rPr>
        <w:t xml:space="preserve">,метод  </w:t>
      </w:r>
      <w:r>
        <w:rPr>
          <w:rFonts w:ascii="Times New Roman" w:hAnsi="Times New Roman"/>
          <w:sz w:val="28"/>
          <w:szCs w:val="28"/>
          <w:lang w:val="en-US"/>
        </w:rPr>
        <w:t>NextTV</w:t>
      </w:r>
      <w:r w:rsidRPr="00E9491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метод</w:t>
      </w:r>
      <w:r>
        <w:rPr>
          <w:rFonts w:ascii="Times New Roman" w:hAnsi="Times New Roman"/>
          <w:sz w:val="28"/>
          <w:szCs w:val="28"/>
          <w:lang w:val="en-US"/>
        </w:rPr>
        <w:t>Eye</w:t>
      </w:r>
      <w:r w:rsidRPr="00E9491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tracking</w:t>
      </w:r>
      <w:r>
        <w:rPr>
          <w:rFonts w:ascii="Times New Roman" w:hAnsi="Times New Roman"/>
          <w:sz w:val="28"/>
          <w:szCs w:val="28"/>
        </w:rPr>
        <w:t xml:space="preserve">и метод </w:t>
      </w:r>
      <w:r>
        <w:rPr>
          <w:rFonts w:ascii="Times New Roman" w:hAnsi="Times New Roman"/>
          <w:sz w:val="28"/>
          <w:szCs w:val="28"/>
          <w:lang w:val="en-US"/>
        </w:rPr>
        <w:t>Link</w:t>
      </w:r>
      <w:r w:rsidRPr="00E94914">
        <w:rPr>
          <w:rFonts w:ascii="Times New Roman" w:hAnsi="Times New Roman"/>
          <w:sz w:val="28"/>
          <w:szCs w:val="28"/>
        </w:rPr>
        <w:t>.</w:t>
      </w:r>
    </w:p>
    <w:p w:rsidR="004F67C0" w:rsidRPr="009654C3" w:rsidRDefault="004F67C0" w:rsidP="005E40C9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C2453">
        <w:rPr>
          <w:rFonts w:ascii="Times New Roman" w:hAnsi="Times New Roman"/>
          <w:i/>
          <w:sz w:val="28"/>
          <w:szCs w:val="28"/>
        </w:rPr>
        <w:t>Метод</w:t>
      </w:r>
      <w:r w:rsidRPr="00AC2453">
        <w:rPr>
          <w:rFonts w:ascii="Times New Roman" w:hAnsi="Times New Roman"/>
          <w:i/>
          <w:sz w:val="28"/>
          <w:szCs w:val="28"/>
          <w:lang w:val="en-US"/>
        </w:rPr>
        <w:t>BAAR</w:t>
      </w:r>
      <w:r>
        <w:rPr>
          <w:rFonts w:ascii="Times New Roman" w:hAnsi="Times New Roman"/>
          <w:sz w:val="28"/>
          <w:szCs w:val="28"/>
        </w:rPr>
        <w:t xml:space="preserve">представляет собой экспериментальное исследование попланового восприятия видеоматериалов, проводимое при их непосредственном просмотре. Данный метод использует технологию ручных пультов, с помощью которых в процессе зрительской сессии ежесекундно регистрируются индивидуальные оценки зрителей во время просмотра видеоматериала. Перед началом, в процессе или после просмотра тестируемого материала, </w:t>
      </w:r>
      <w:r>
        <w:rPr>
          <w:rFonts w:ascii="Times New Roman" w:hAnsi="Times New Roman"/>
          <w:sz w:val="28"/>
          <w:szCs w:val="28"/>
          <w:lang w:val="en-US"/>
        </w:rPr>
        <w:t>BAAR</w:t>
      </w:r>
      <w:r>
        <w:rPr>
          <w:rFonts w:ascii="Times New Roman" w:hAnsi="Times New Roman"/>
          <w:sz w:val="28"/>
          <w:szCs w:val="28"/>
        </w:rPr>
        <w:t xml:space="preserve"> может «задавать» закрытые вопросы, показывая их на экране, на которые респонденты отвечают с помощью клавиатуры ручных пультов. Метод позволяет проводить оценку рекламных материалов не только как целый рекламный продукт, но и выявлять коммуникационный эффект, возникающий от любого элемента видеоматериала: посекундное отслеживание ряда показателей, на основе которых можно производить подробный анализ коммуникации, оценку эффекта от отдельных элементов рекламного материала – визуального, музыкального ряда и текстового содержания видеоролика.  Помимо этого, метод оптимален для определения сильной и слабой сюжетной линии оценки персонажей и героев рекламных материалов, оптимизации рекламного сообщения для визуального и аудиального восприятия материала. Также  преимуществом является автоматизирован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</w:rPr>
        <w:t>ость системы и отсутствие влияния интервьюера, а также респондентов друг на друга. Данный метод носит высокий рекомендательный характер.</w:t>
      </w:r>
      <w:r w:rsidRPr="009654C3">
        <w:rPr>
          <w:rFonts w:ascii="Times New Roman" w:hAnsi="Times New Roman"/>
          <w:sz w:val="28"/>
          <w:szCs w:val="28"/>
        </w:rPr>
        <w:t>[5,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9654C3">
        <w:rPr>
          <w:rFonts w:ascii="Times New Roman" w:hAnsi="Times New Roman"/>
          <w:sz w:val="28"/>
          <w:szCs w:val="28"/>
        </w:rPr>
        <w:t>.110]</w:t>
      </w:r>
    </w:p>
    <w:p w:rsidR="004F67C0" w:rsidRPr="00C73FED" w:rsidRDefault="004F67C0" w:rsidP="005E40C9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062BD">
        <w:rPr>
          <w:rFonts w:ascii="Times New Roman" w:hAnsi="Times New Roman"/>
          <w:i/>
          <w:sz w:val="28"/>
          <w:szCs w:val="28"/>
        </w:rPr>
        <w:t xml:space="preserve"> Метод  </w:t>
      </w:r>
      <w:r w:rsidRPr="001062BD">
        <w:rPr>
          <w:rFonts w:ascii="Times New Roman" w:hAnsi="Times New Roman"/>
          <w:i/>
          <w:sz w:val="28"/>
          <w:szCs w:val="28"/>
          <w:lang w:val="en-US"/>
        </w:rPr>
        <w:t>NextTV</w:t>
      </w:r>
      <w:r>
        <w:rPr>
          <w:rFonts w:ascii="Times New Roman" w:hAnsi="Times New Roman"/>
          <w:sz w:val="28"/>
          <w:szCs w:val="28"/>
        </w:rPr>
        <w:t xml:space="preserve"> , разработанный агентством </w:t>
      </w:r>
      <w:r>
        <w:rPr>
          <w:rFonts w:ascii="Times New Roman" w:hAnsi="Times New Roman"/>
          <w:sz w:val="28"/>
          <w:szCs w:val="28"/>
          <w:lang w:val="en-US"/>
        </w:rPr>
        <w:t>IPSOS</w:t>
      </w:r>
      <w:r>
        <w:rPr>
          <w:rFonts w:ascii="Times New Roman" w:hAnsi="Times New Roman"/>
          <w:sz w:val="28"/>
          <w:szCs w:val="28"/>
        </w:rPr>
        <w:t xml:space="preserve">, который в противовес методу фокус - группы позволяет оценить коммуникативную эффективность телевизионной рекламы в среде наиболее приближенной к реальности. Потребителям предлагается в домашних условиях посмотреть и оценить телепрограммы, в которые интегрирована реклама, записанные на </w:t>
      </w:r>
      <w:r>
        <w:rPr>
          <w:rFonts w:ascii="Times New Roman" w:hAnsi="Times New Roman"/>
          <w:sz w:val="28"/>
          <w:szCs w:val="28"/>
          <w:lang w:val="en-US"/>
        </w:rPr>
        <w:t>dvd</w:t>
      </w:r>
      <w:r>
        <w:rPr>
          <w:rFonts w:ascii="Times New Roman" w:hAnsi="Times New Roman"/>
          <w:sz w:val="28"/>
          <w:szCs w:val="28"/>
        </w:rPr>
        <w:t>–диски. Через день после просмотра, компания получает отзывы потребителей и далее оценивает эффективность рекламного продукта по следующим параметрам: запоминаемость, убедительность рекламного сообщения, индекс эффективности рекламного ролика. Ввиду того, что метод реализуется в реальной среде, а далее используются отзывы респондентов, степень рекомендательного характера достаточна высока.</w:t>
      </w:r>
      <w:r w:rsidRPr="00C73FED">
        <w:rPr>
          <w:rFonts w:ascii="Times New Roman" w:hAnsi="Times New Roman"/>
          <w:sz w:val="28"/>
          <w:szCs w:val="28"/>
        </w:rPr>
        <w:t>[6,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C73FED">
        <w:rPr>
          <w:rFonts w:ascii="Times New Roman" w:hAnsi="Times New Roman"/>
          <w:sz w:val="28"/>
          <w:szCs w:val="28"/>
        </w:rPr>
        <w:t>.229]</w:t>
      </w:r>
    </w:p>
    <w:p w:rsidR="004F67C0" w:rsidRPr="006C391F" w:rsidRDefault="004F67C0" w:rsidP="005E40C9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B0224">
        <w:rPr>
          <w:rFonts w:ascii="Times New Roman" w:hAnsi="Times New Roman"/>
          <w:i/>
          <w:sz w:val="28"/>
          <w:szCs w:val="28"/>
        </w:rPr>
        <w:t>Методика</w:t>
      </w:r>
      <w:r w:rsidRPr="00FB0224">
        <w:rPr>
          <w:rFonts w:ascii="Times New Roman" w:hAnsi="Times New Roman"/>
          <w:i/>
          <w:sz w:val="28"/>
          <w:szCs w:val="28"/>
          <w:lang w:val="en-US"/>
        </w:rPr>
        <w:t>Eye</w:t>
      </w:r>
      <w:r w:rsidRPr="000A154A">
        <w:rPr>
          <w:rFonts w:ascii="Times New Roman" w:hAnsi="Times New Roman"/>
          <w:i/>
          <w:sz w:val="28"/>
          <w:szCs w:val="28"/>
        </w:rPr>
        <w:t>-</w:t>
      </w:r>
      <w:r w:rsidRPr="00FB0224">
        <w:rPr>
          <w:rFonts w:ascii="Times New Roman" w:hAnsi="Times New Roman"/>
          <w:i/>
          <w:sz w:val="28"/>
          <w:szCs w:val="28"/>
          <w:lang w:val="en-US"/>
        </w:rPr>
        <w:t>tracking</w:t>
      </w:r>
      <w:r>
        <w:rPr>
          <w:rFonts w:ascii="Times New Roman" w:hAnsi="Times New Roman"/>
          <w:sz w:val="28"/>
          <w:szCs w:val="28"/>
        </w:rPr>
        <w:t xml:space="preserve">является инновационным методом в оценке коммуникативной эффективности рекламы и часто используется агентством </w:t>
      </w:r>
      <w:r>
        <w:rPr>
          <w:rFonts w:ascii="Times New Roman" w:hAnsi="Times New Roman"/>
          <w:sz w:val="28"/>
          <w:szCs w:val="28"/>
          <w:lang w:val="en-US"/>
        </w:rPr>
        <w:t>SynovateComcon</w:t>
      </w:r>
      <w:r w:rsidRPr="000A154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С помощью специального оборудования производится наблюдение за движением взгляда испытуемого и оценка его эмоционального состояния. Например, информация об изменении диаметра зрачков респондента в процессе просмотра изображения позволит сделать выводы об эмоциональной реакции человека. В результате обработка информации, получаемой с помощью прибора, становится возможным выделить элементы тестируемого объекта, притягивающие наибольшее внимание, установить порядок их просмотра. Однако основной недостаток данного метода заключается в отсутствии конкретных способов и методик анализа полученных данных для дальнейшего их использования. Поэтому рекомендательный характер очень невысок.</w:t>
      </w:r>
      <w:r w:rsidRPr="006C391F">
        <w:rPr>
          <w:rFonts w:ascii="Times New Roman" w:hAnsi="Times New Roman"/>
          <w:sz w:val="28"/>
          <w:szCs w:val="28"/>
        </w:rPr>
        <w:t>[3,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6C391F">
        <w:rPr>
          <w:rFonts w:ascii="Times New Roman" w:hAnsi="Times New Roman"/>
          <w:sz w:val="28"/>
          <w:szCs w:val="28"/>
        </w:rPr>
        <w:t>.76]</w:t>
      </w:r>
    </w:p>
    <w:p w:rsidR="004F67C0" w:rsidRPr="00C73FED" w:rsidRDefault="004F67C0" w:rsidP="005E40C9">
      <w:pPr>
        <w:pStyle w:val="ListParagraph"/>
        <w:tabs>
          <w:tab w:val="left" w:pos="3119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4522C">
        <w:rPr>
          <w:rFonts w:ascii="Times New Roman" w:hAnsi="Times New Roman"/>
          <w:i/>
          <w:sz w:val="28"/>
          <w:szCs w:val="28"/>
        </w:rPr>
        <w:t xml:space="preserve">Метод  </w:t>
      </w:r>
      <w:r w:rsidRPr="0064522C">
        <w:rPr>
          <w:rFonts w:ascii="Times New Roman" w:hAnsi="Times New Roman"/>
          <w:i/>
          <w:sz w:val="28"/>
          <w:szCs w:val="28"/>
          <w:lang w:val="en-US"/>
        </w:rPr>
        <w:t>Link</w:t>
      </w:r>
      <w:r>
        <w:rPr>
          <w:rFonts w:ascii="Times New Roman" w:hAnsi="Times New Roman"/>
          <w:sz w:val="28"/>
          <w:szCs w:val="28"/>
        </w:rPr>
        <w:t xml:space="preserve"> разработан международной компанией </w:t>
      </w:r>
      <w:r>
        <w:rPr>
          <w:rFonts w:ascii="Times New Roman" w:hAnsi="Times New Roman"/>
          <w:sz w:val="28"/>
          <w:szCs w:val="28"/>
          <w:lang w:val="en-US"/>
        </w:rPr>
        <w:t>MillwardBrown</w:t>
      </w:r>
      <w:r w:rsidRPr="009A018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которая занимается исследованием брендов, медиа и коммуникаций. В основе этого метода лежит полный набор оценивающих и диагностических вопросов, нацеленных вызвать у респондента реакции: рациональные и эмоциональные по поводу рекламного продукта, в частности телевизионного ролика. Используя веб-камеру, фиксируются эмоции лица человека, то есть его эмоциональный ответ на рекламный ролик. Таким образом, использование в совокупности опросной методики и специальных техник измерения визуальной реакции респондента, способствует достаточно эффективной оценке коммуникативного воздействия рекламы на него.</w:t>
      </w:r>
      <w:r w:rsidRPr="00C73FED">
        <w:rPr>
          <w:rFonts w:ascii="Times New Roman" w:hAnsi="Times New Roman"/>
          <w:sz w:val="28"/>
          <w:szCs w:val="28"/>
        </w:rPr>
        <w:t>[6,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C73FED">
        <w:rPr>
          <w:rFonts w:ascii="Times New Roman" w:hAnsi="Times New Roman"/>
          <w:sz w:val="28"/>
          <w:szCs w:val="28"/>
        </w:rPr>
        <w:t>.240]</w:t>
      </w:r>
    </w:p>
    <w:p w:rsidR="004F67C0" w:rsidRDefault="004F67C0" w:rsidP="005E40C9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Исследование данной проблемы позволяет сделать вывод, что реклама, в том числе телевизионная, является основополагающим моментом в достижении успеха любой фирмы. Однако, компания, которая запускает рекламу на телевидении, должна провести тщательную оценку эффективности данной рекламы, что поможет спрогнозировать её успешность после  выхода в эфир.</w:t>
      </w:r>
    </w:p>
    <w:p w:rsidR="004F67C0" w:rsidRDefault="004F67C0" w:rsidP="005E40C9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F67C0" w:rsidRPr="005E40C9" w:rsidRDefault="004F67C0" w:rsidP="005E40C9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E40C9">
        <w:rPr>
          <w:rFonts w:ascii="Times New Roman" w:hAnsi="Times New Roman"/>
          <w:b/>
          <w:sz w:val="28"/>
          <w:szCs w:val="28"/>
        </w:rPr>
        <w:t>Литература</w:t>
      </w:r>
      <w:r w:rsidRPr="005E40C9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4F67C0" w:rsidRPr="006B7512" w:rsidRDefault="004F67C0" w:rsidP="005E40C9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Анашкина Н. Режиссура телевизионной рекламы: учеб.пособие/ Н. Анашкина –М.: ЮНИТИ ДАНА, 2008.- 106 с.</w:t>
      </w:r>
    </w:p>
    <w:p w:rsidR="004F67C0" w:rsidRPr="00007544" w:rsidRDefault="004F67C0" w:rsidP="005E40C9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67E72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Антипов К. Основы рекламы: учеб. пособие / К. Антипов- М.: Дашков и К, 2009.- 198 с.</w:t>
      </w:r>
    </w:p>
    <w:p w:rsidR="004F67C0" w:rsidRPr="00D84B1A" w:rsidRDefault="004F67C0" w:rsidP="005E40C9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67E72">
        <w:rPr>
          <w:rFonts w:ascii="Times New Roman" w:hAnsi="Times New Roman"/>
          <w:sz w:val="28"/>
          <w:szCs w:val="28"/>
        </w:rPr>
        <w:t xml:space="preserve">3. </w:t>
      </w:r>
      <w:r w:rsidRPr="00D84B1A">
        <w:rPr>
          <w:rFonts w:ascii="Times New Roman" w:hAnsi="Times New Roman"/>
          <w:sz w:val="28"/>
          <w:szCs w:val="28"/>
        </w:rPr>
        <w:t>Гусева А.С. Психологические</w:t>
      </w:r>
      <w:r>
        <w:rPr>
          <w:rFonts w:ascii="Times New Roman" w:hAnsi="Times New Roman"/>
          <w:sz w:val="28"/>
          <w:szCs w:val="28"/>
          <w:lang w:val="uk-UA"/>
        </w:rPr>
        <w:t xml:space="preserve"> технологии</w:t>
      </w:r>
      <w:r w:rsidRPr="00D84B1A">
        <w:rPr>
          <w:rFonts w:ascii="Times New Roman" w:hAnsi="Times New Roman"/>
          <w:sz w:val="28"/>
          <w:szCs w:val="28"/>
        </w:rPr>
        <w:t>манипулирования</w:t>
      </w:r>
      <w:r>
        <w:rPr>
          <w:rFonts w:ascii="Times New Roman" w:hAnsi="Times New Roman"/>
          <w:sz w:val="28"/>
          <w:szCs w:val="28"/>
        </w:rPr>
        <w:t>массовым бессознательным: современное состояние и перспективы использования. Политический маркетинг/ А.С. Гусева, И.В. Ниесов.- К., Ин-т, 2007, №1, С.75-77.</w:t>
      </w:r>
    </w:p>
    <w:p w:rsidR="004F67C0" w:rsidRDefault="004F67C0" w:rsidP="005E40C9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 Лук</w:t>
      </w:r>
      <w:r w:rsidRPr="00E45A6F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янецьТ.І. Рекламний менеджмент: Навч.-метод. посібник для самостійного вивчення дисциплін/ Т.І. Лук</w:t>
      </w:r>
      <w:r w:rsidRPr="00E45A6F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янець- К.: КНЕУ, 2002.- С.95-100.</w:t>
      </w:r>
    </w:p>
    <w:p w:rsidR="004F67C0" w:rsidRPr="00967E72" w:rsidRDefault="004F67C0" w:rsidP="005E40C9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5.Попова Ж.Г. </w:t>
      </w:r>
      <w:r>
        <w:rPr>
          <w:rFonts w:ascii="Times New Roman" w:hAnsi="Times New Roman"/>
          <w:sz w:val="28"/>
          <w:szCs w:val="28"/>
        </w:rPr>
        <w:t>Психологические</w:t>
      </w:r>
      <w:r w:rsidRPr="00E1433E">
        <w:rPr>
          <w:rFonts w:ascii="Times New Roman" w:hAnsi="Times New Roman"/>
          <w:sz w:val="28"/>
          <w:szCs w:val="28"/>
        </w:rPr>
        <w:t xml:space="preserve"> аспекты восприятия рекламы потребителем</w:t>
      </w:r>
      <w:r>
        <w:rPr>
          <w:rFonts w:ascii="Times New Roman" w:hAnsi="Times New Roman"/>
          <w:sz w:val="28"/>
          <w:szCs w:val="28"/>
        </w:rPr>
        <w:t>: Учебник/ Ж.Г.Попова .-К.: «Дом Книг», 2008.- 178 с.</w:t>
      </w:r>
    </w:p>
    <w:p w:rsidR="004F67C0" w:rsidRPr="00E959C8" w:rsidRDefault="004F67C0" w:rsidP="005E40C9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967E7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Ромат Е.В. Реклама: Учебник для студ.спец. «Маркетинг»/ Е.В. Ромат.- Харьков: НВФ «Студцентр», 2007.- 266 с.</w:t>
      </w:r>
    </w:p>
    <w:p w:rsidR="004F67C0" w:rsidRPr="00967E72" w:rsidRDefault="004F67C0" w:rsidP="005E40C9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67C0" w:rsidRDefault="004F67C0" w:rsidP="005E40C9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4F67C0" w:rsidRDefault="004F67C0" w:rsidP="005E40C9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4F67C0" w:rsidRDefault="004F67C0" w:rsidP="005E40C9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4F67C0" w:rsidRDefault="004F67C0" w:rsidP="005E40C9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67C0" w:rsidRDefault="004F67C0" w:rsidP="005E40C9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67C0" w:rsidRDefault="004F67C0" w:rsidP="005E40C9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67C0" w:rsidRDefault="004F67C0" w:rsidP="005E40C9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67C0" w:rsidRDefault="004F67C0" w:rsidP="005E40C9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67C0" w:rsidRDefault="004F67C0" w:rsidP="005E40C9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67C0" w:rsidRDefault="004F67C0" w:rsidP="005E40C9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4F67C0" w:rsidSect="00260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D2C78"/>
    <w:multiLevelType w:val="hybridMultilevel"/>
    <w:tmpl w:val="66321E3A"/>
    <w:lvl w:ilvl="0" w:tplc="15AE1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34658C3"/>
    <w:multiLevelType w:val="hybridMultilevel"/>
    <w:tmpl w:val="383836EA"/>
    <w:lvl w:ilvl="0" w:tplc="5F9EB772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">
    <w:nsid w:val="5DB52F3A"/>
    <w:multiLevelType w:val="hybridMultilevel"/>
    <w:tmpl w:val="99A4A1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B0E"/>
    <w:rsid w:val="00007544"/>
    <w:rsid w:val="00013E54"/>
    <w:rsid w:val="000376F4"/>
    <w:rsid w:val="000537AA"/>
    <w:rsid w:val="000579F6"/>
    <w:rsid w:val="000A154A"/>
    <w:rsid w:val="000A169A"/>
    <w:rsid w:val="000A25A1"/>
    <w:rsid w:val="000B51BE"/>
    <w:rsid w:val="000E2656"/>
    <w:rsid w:val="000F32D9"/>
    <w:rsid w:val="001062BD"/>
    <w:rsid w:val="0012584E"/>
    <w:rsid w:val="001346DB"/>
    <w:rsid w:val="00134BA1"/>
    <w:rsid w:val="0013536C"/>
    <w:rsid w:val="00155A29"/>
    <w:rsid w:val="0018633B"/>
    <w:rsid w:val="001865D2"/>
    <w:rsid w:val="001A0025"/>
    <w:rsid w:val="00203C21"/>
    <w:rsid w:val="00260130"/>
    <w:rsid w:val="00346AC7"/>
    <w:rsid w:val="00371AF0"/>
    <w:rsid w:val="003773C9"/>
    <w:rsid w:val="003A375F"/>
    <w:rsid w:val="003D78CA"/>
    <w:rsid w:val="00425372"/>
    <w:rsid w:val="00444A9C"/>
    <w:rsid w:val="00495EFF"/>
    <w:rsid w:val="004B1C61"/>
    <w:rsid w:val="004D3ACE"/>
    <w:rsid w:val="004F5B0E"/>
    <w:rsid w:val="004F67C0"/>
    <w:rsid w:val="00517A76"/>
    <w:rsid w:val="00536C1A"/>
    <w:rsid w:val="005C4D95"/>
    <w:rsid w:val="005D64E5"/>
    <w:rsid w:val="005E40C9"/>
    <w:rsid w:val="005E605E"/>
    <w:rsid w:val="006112A3"/>
    <w:rsid w:val="0064522C"/>
    <w:rsid w:val="006B7512"/>
    <w:rsid w:val="006C391F"/>
    <w:rsid w:val="00707523"/>
    <w:rsid w:val="00740D7C"/>
    <w:rsid w:val="00741B07"/>
    <w:rsid w:val="00752CCC"/>
    <w:rsid w:val="00763101"/>
    <w:rsid w:val="007A6F82"/>
    <w:rsid w:val="007D6005"/>
    <w:rsid w:val="00802C39"/>
    <w:rsid w:val="00813C10"/>
    <w:rsid w:val="00827F02"/>
    <w:rsid w:val="0085005E"/>
    <w:rsid w:val="00892127"/>
    <w:rsid w:val="008A03E8"/>
    <w:rsid w:val="00931D4F"/>
    <w:rsid w:val="009654C3"/>
    <w:rsid w:val="00967E72"/>
    <w:rsid w:val="009A0189"/>
    <w:rsid w:val="009D6C67"/>
    <w:rsid w:val="00A2215C"/>
    <w:rsid w:val="00A9138C"/>
    <w:rsid w:val="00AA4CDD"/>
    <w:rsid w:val="00AC2453"/>
    <w:rsid w:val="00AE398E"/>
    <w:rsid w:val="00B40929"/>
    <w:rsid w:val="00BC08ED"/>
    <w:rsid w:val="00BC697C"/>
    <w:rsid w:val="00BD7D9F"/>
    <w:rsid w:val="00C17C72"/>
    <w:rsid w:val="00C5646A"/>
    <w:rsid w:val="00C73FED"/>
    <w:rsid w:val="00CA59C8"/>
    <w:rsid w:val="00CA70E5"/>
    <w:rsid w:val="00CC08EB"/>
    <w:rsid w:val="00CD1A15"/>
    <w:rsid w:val="00CF37F2"/>
    <w:rsid w:val="00D26038"/>
    <w:rsid w:val="00D4438D"/>
    <w:rsid w:val="00D54194"/>
    <w:rsid w:val="00D80FCD"/>
    <w:rsid w:val="00D84B1A"/>
    <w:rsid w:val="00DB50DE"/>
    <w:rsid w:val="00DB79AF"/>
    <w:rsid w:val="00DE0B28"/>
    <w:rsid w:val="00E1433E"/>
    <w:rsid w:val="00E17A02"/>
    <w:rsid w:val="00E2147A"/>
    <w:rsid w:val="00E45A6F"/>
    <w:rsid w:val="00E666D7"/>
    <w:rsid w:val="00E671E5"/>
    <w:rsid w:val="00E94914"/>
    <w:rsid w:val="00E959C8"/>
    <w:rsid w:val="00EA2B2F"/>
    <w:rsid w:val="00EA3FE4"/>
    <w:rsid w:val="00EE0C86"/>
    <w:rsid w:val="00EE3229"/>
    <w:rsid w:val="00F2235F"/>
    <w:rsid w:val="00F834C7"/>
    <w:rsid w:val="00F83E2F"/>
    <w:rsid w:val="00F9219C"/>
    <w:rsid w:val="00FB0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C67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376F4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F2235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313</TotalTime>
  <Pages>5</Pages>
  <Words>4762</Words>
  <Characters>2715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91</cp:revision>
  <dcterms:created xsi:type="dcterms:W3CDTF">2016-06-20T14:40:00Z</dcterms:created>
  <dcterms:modified xsi:type="dcterms:W3CDTF">2016-06-30T19:34:00Z</dcterms:modified>
</cp:coreProperties>
</file>