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41" w:rsidRDefault="005F5041" w:rsidP="004D2BA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C38FE">
        <w:rPr>
          <w:rFonts w:ascii="Times New Roman" w:hAnsi="Times New Roman"/>
          <w:b/>
          <w:sz w:val="28"/>
          <w:szCs w:val="28"/>
        </w:rPr>
        <w:t>Кайрат Жуманов</w:t>
      </w:r>
      <w:r w:rsidRPr="00AC38FE">
        <w:rPr>
          <w:rFonts w:ascii="Times New Roman" w:hAnsi="Times New Roman"/>
          <w:sz w:val="28"/>
          <w:szCs w:val="28"/>
        </w:rPr>
        <w:t xml:space="preserve">, </w:t>
      </w:r>
      <w:r w:rsidRPr="00AC38FE">
        <w:rPr>
          <w:rFonts w:ascii="Times New Roman" w:hAnsi="Times New Roman"/>
          <w:b/>
          <w:sz w:val="28"/>
          <w:szCs w:val="28"/>
          <w:lang w:val="kk-KZ"/>
        </w:rPr>
        <w:t>Кадыр Бияшев,</w:t>
      </w:r>
      <w:r w:rsidRPr="00AC38F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F5041" w:rsidRPr="00AC38FE" w:rsidRDefault="005F5041" w:rsidP="004D2BA5">
      <w:pPr>
        <w:spacing w:after="0" w:line="240" w:lineRule="auto"/>
        <w:jc w:val="right"/>
        <w:rPr>
          <w:rFonts w:ascii="Times New Roman" w:hAnsi="Times New Roman"/>
          <w:bCs/>
          <w:kern w:val="36"/>
          <w:sz w:val="28"/>
          <w:szCs w:val="28"/>
          <w:lang w:val="kk-KZ"/>
        </w:rPr>
      </w:pPr>
      <w:r w:rsidRPr="00AC38FE">
        <w:rPr>
          <w:rFonts w:ascii="Times New Roman" w:hAnsi="Times New Roman"/>
          <w:b/>
          <w:sz w:val="28"/>
          <w:szCs w:val="28"/>
        </w:rPr>
        <w:t>Биржан Бияшев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C38FE">
        <w:rPr>
          <w:rFonts w:ascii="Times New Roman" w:hAnsi="Times New Roman"/>
          <w:b/>
          <w:sz w:val="28"/>
          <w:szCs w:val="28"/>
          <w:lang w:val="kk-KZ"/>
        </w:rPr>
        <w:t>Абылай Сансызбай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</w:p>
    <w:p w:rsidR="005F5041" w:rsidRDefault="005F5041" w:rsidP="004D2BA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C38FE">
        <w:rPr>
          <w:rFonts w:ascii="Times New Roman" w:hAnsi="Times New Roman"/>
          <w:b/>
          <w:sz w:val="28"/>
          <w:szCs w:val="28"/>
        </w:rPr>
        <w:t xml:space="preserve">Динара Сарыбаева </w:t>
      </w:r>
    </w:p>
    <w:p w:rsidR="005F5041" w:rsidRPr="004D2BA5" w:rsidRDefault="005F5041" w:rsidP="004D2BA5">
      <w:pPr>
        <w:spacing w:after="0" w:line="240" w:lineRule="auto"/>
        <w:ind w:firstLine="709"/>
        <w:jc w:val="right"/>
        <w:rPr>
          <w:rStyle w:val="2"/>
          <w:b/>
          <w:color w:val="000000"/>
          <w:sz w:val="28"/>
          <w:szCs w:val="28"/>
        </w:rPr>
      </w:pPr>
      <w:r w:rsidRPr="004D2BA5">
        <w:rPr>
          <w:rFonts w:ascii="Times New Roman" w:hAnsi="Times New Roman"/>
          <w:b/>
          <w:sz w:val="28"/>
          <w:szCs w:val="28"/>
        </w:rPr>
        <w:t>(</w:t>
      </w:r>
      <w:r w:rsidRPr="004D2BA5">
        <w:rPr>
          <w:rFonts w:ascii="Times New Roman" w:hAnsi="Times New Roman"/>
          <w:b/>
          <w:sz w:val="28"/>
          <w:szCs w:val="28"/>
          <w:lang w:val="kk-KZ"/>
        </w:rPr>
        <w:t>Алматы, Казахстан)</w:t>
      </w:r>
    </w:p>
    <w:p w:rsidR="005F5041" w:rsidRPr="00AC38FE" w:rsidRDefault="005F5041" w:rsidP="00AC38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F5041" w:rsidRPr="00AC38FE" w:rsidRDefault="005F5041" w:rsidP="00AC38FE">
      <w:pPr>
        <w:spacing w:after="0" w:line="240" w:lineRule="auto"/>
        <w:ind w:firstLine="709"/>
        <w:jc w:val="center"/>
        <w:rPr>
          <w:rStyle w:val="2"/>
          <w:b/>
          <w:color w:val="000000"/>
          <w:sz w:val="28"/>
          <w:szCs w:val="28"/>
        </w:rPr>
      </w:pPr>
      <w:r w:rsidRPr="00AC38FE">
        <w:rPr>
          <w:rFonts w:ascii="Times New Roman" w:hAnsi="Times New Roman"/>
          <w:b/>
          <w:sz w:val="28"/>
          <w:szCs w:val="28"/>
          <w:lang w:val="kk-KZ"/>
        </w:rPr>
        <w:t>И</w:t>
      </w:r>
      <w:r w:rsidRPr="00AC38FE">
        <w:rPr>
          <w:rFonts w:ascii="Times New Roman" w:hAnsi="Times New Roman"/>
          <w:b/>
          <w:sz w:val="28"/>
          <w:szCs w:val="28"/>
        </w:rPr>
        <w:t xml:space="preserve">СПОЛЬЗОВАНИЕ </w:t>
      </w:r>
      <w:r w:rsidRPr="00AC38FE">
        <w:rPr>
          <w:rStyle w:val="2"/>
          <w:b/>
          <w:color w:val="000000"/>
          <w:sz w:val="28"/>
          <w:szCs w:val="28"/>
          <w:lang w:val="kk-KZ"/>
        </w:rPr>
        <w:t xml:space="preserve">ПРОБИОТИЧЕСКОГО </w:t>
      </w:r>
      <w:r w:rsidRPr="00AC38FE">
        <w:rPr>
          <w:rFonts w:ascii="Times New Roman" w:hAnsi="Times New Roman"/>
          <w:b/>
          <w:sz w:val="28"/>
          <w:szCs w:val="28"/>
        </w:rPr>
        <w:t>ПРЕПАРАТА</w:t>
      </w:r>
      <w:r w:rsidRPr="00AC38FE">
        <w:rPr>
          <w:rFonts w:ascii="Times New Roman" w:hAnsi="Times New Roman"/>
          <w:b/>
          <w:sz w:val="28"/>
          <w:szCs w:val="28"/>
          <w:lang w:val="kk-KZ"/>
        </w:rPr>
        <w:t xml:space="preserve"> «АНТАКОН» ДЛЯ ЛЕЧЕНИЯ </w:t>
      </w:r>
      <w:r w:rsidRPr="00AC38FE">
        <w:rPr>
          <w:rStyle w:val="2"/>
          <w:b/>
          <w:sz w:val="28"/>
          <w:szCs w:val="28"/>
        </w:rPr>
        <w:t>МАСТИТА</w:t>
      </w:r>
      <w:r w:rsidRPr="00AC38FE">
        <w:rPr>
          <w:rStyle w:val="2"/>
          <w:b/>
          <w:color w:val="000000"/>
          <w:sz w:val="28"/>
          <w:szCs w:val="28"/>
        </w:rPr>
        <w:t xml:space="preserve"> КРУПНОГО РОГА</w:t>
      </w:r>
      <w:r w:rsidRPr="00AC38FE">
        <w:rPr>
          <w:rStyle w:val="2"/>
          <w:b/>
          <w:color w:val="000000"/>
          <w:sz w:val="28"/>
          <w:szCs w:val="28"/>
        </w:rPr>
        <w:softHyphen/>
        <w:t>ТОГО СКОТА</w:t>
      </w:r>
    </w:p>
    <w:p w:rsidR="005F5041" w:rsidRPr="00AC38FE" w:rsidRDefault="005F5041" w:rsidP="004D2BA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38FE">
        <w:rPr>
          <w:rFonts w:ascii="Times New Roman" w:hAnsi="Times New Roman"/>
          <w:b/>
          <w:sz w:val="28"/>
          <w:szCs w:val="28"/>
          <w:lang w:val="kk-KZ" w:eastAsia="ru-RU"/>
        </w:rPr>
        <w:t>Введение.</w:t>
      </w:r>
      <w:r w:rsidRPr="00AC38FE">
        <w:rPr>
          <w:rFonts w:ascii="Times New Roman" w:hAnsi="Times New Roman"/>
          <w:sz w:val="28"/>
          <w:szCs w:val="28"/>
          <w:lang w:eastAsia="ru-RU"/>
        </w:rPr>
        <w:t>Среди многих болезней молочных коров, обусловливающих снижение молочной продуктивности и санитарно-технологических качеств молока, особое место занимает мастит. В течение года им могут переболевать от 15-30 до 50-70% животных. От переболевших маститом коров, в зависимости от характера течения воспалительного процесса, не своевременности и мало эффективности лечения, недополучают 15-20% и более годового удоя молока [1,2,3,4].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38FE">
        <w:rPr>
          <w:rFonts w:ascii="Times New Roman" w:hAnsi="Times New Roman"/>
          <w:sz w:val="28"/>
          <w:szCs w:val="28"/>
          <w:lang w:eastAsia="ru-RU"/>
        </w:rPr>
        <w:t>Воспалительный процесс в молочной железе коров развивается, как правило, в ответ на воздействие неблагоприятных биологических (микроорганизмы), физических (ушибы, микротравмы, охлаждения, солнечный ожог) и химических (щелочи, кислоты, соли, токсины и др.) факторов внешней среды.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38FE">
        <w:rPr>
          <w:rFonts w:ascii="Times New Roman" w:hAnsi="Times New Roman"/>
          <w:sz w:val="28"/>
          <w:szCs w:val="28"/>
          <w:lang w:eastAsia="ru-RU"/>
        </w:rPr>
        <w:t xml:space="preserve"> В большинстве случаев непосредственной причиной возникновения мастита у коров является проникновение и развитие в тканях молочной железы патогенной и потенциально патогенной микрофлоры, преимущественно золотистого стафилококка, агалактийного и дисгалактийного стрептококков, реже - эпидермального стафилококка, стрептококка вымени, эшерихий, а также других видов бактерий, микоплазм, микроскопических грибов, вирусов и др., изолируемых из молока (секрета) преимущественно в виде различных ассоциаций.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38FE">
        <w:rPr>
          <w:rFonts w:ascii="Times New Roman" w:hAnsi="Times New Roman"/>
          <w:sz w:val="28"/>
          <w:szCs w:val="28"/>
          <w:lang w:eastAsia="ru-RU"/>
        </w:rPr>
        <w:t>В молоке пораженных долей вымени увеличивается количество соматических клеток (преимущественно лейкоцитов), белков, хлоридов, повышается щелочность, плотность, бактериальная обсемененность, уменьшается содержание жира, лактозы, сухих обезжиренных веществ, снижается его бактерицидная активность, а в процессе лечения животных появляются ингибирующие вещества. Такое молоко теряет питательную ценность и технологические свойства, необходимые для производства</w:t>
      </w:r>
      <w:r w:rsidRPr="00AC38FE">
        <w:rPr>
          <w:rFonts w:ascii="Times New Roman" w:hAnsi="Times New Roman"/>
          <w:sz w:val="28"/>
          <w:szCs w:val="28"/>
          <w:lang w:eastAsia="ru-RU"/>
        </w:rPr>
        <w:br/>
        <w:t>молочнокислых продуктов и сыров. Употребление такого молока приводит к увеличению заболеваемости и гибели новорожденных телят и возможности развития аллергических реакций и пищевых токсикозов у людей [5, 6, 7].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C38FE">
        <w:rPr>
          <w:rFonts w:ascii="Times New Roman" w:eastAsia="TimesNewRoman+1+1" w:hAnsi="Times New Roman"/>
          <w:sz w:val="28"/>
          <w:szCs w:val="28"/>
        </w:rPr>
        <w:t xml:space="preserve">Задачей исследования явилось изучениебиологических свойств возбудителей маститов дляразработки новых способов прогнозирования маститов, а также разработка способа местного леченияразных форм мастита у коров с использованием пробиотического препарата «Антакон». На препарат </w:t>
      </w:r>
      <w:r w:rsidRPr="00AC38FE">
        <w:rPr>
          <w:rFonts w:ascii="Times New Roman" w:hAnsi="Times New Roman"/>
          <w:sz w:val="28"/>
          <w:szCs w:val="28"/>
        </w:rPr>
        <w:t>«Антакон» получен инновационный патент за №2014/0690.1, зарегистрированный в Государственном реестре изобретений РК от 19.05.2014 г.).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Материал и метод</w:t>
      </w:r>
      <w:r w:rsidRPr="00AC38FE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ики исследования.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Опыты проводились в трёх хозяйствах Алматинской области. Лабораторная исследования проводился «лаборатория противобактериозной биотехнологии» в КазНАУ. В опыте было взято 200 коров, из них 100 голов </w:t>
      </w:r>
      <w:r>
        <w:rPr>
          <w:rFonts w:ascii="Times New Roman" w:eastAsia="TimesNewRoman+1+1" w:hAnsi="Times New Roman"/>
          <w:sz w:val="28"/>
          <w:szCs w:val="28"/>
        </w:rPr>
        <w:t xml:space="preserve">коров диагностированы 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как явно клинически больные маститом и 100 – с субклиническими признаками заболевания. Препарат вводили интрацистернально в количестве 10 мл в пораженные четвертивымени один раз в сутки. 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C38F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исследования.</w:t>
      </w:r>
      <w:r w:rsidRPr="00AC38FE">
        <w:rPr>
          <w:rFonts w:ascii="Times New Roman" w:eastAsia="TimesNewRoman+1+1" w:hAnsi="Times New Roman"/>
          <w:sz w:val="28"/>
          <w:szCs w:val="28"/>
        </w:rPr>
        <w:t>Нами были обследованы 250животных. Мастит диагностировали на основанииклинических, лабораторных (пробами димастина, мастидина и отстаивания) и бактериологических исследований. Забор исследуемого материала (молока) проводился у коров одного возраста ипериода лактации. Микроорганизмы, выделенные из</w:t>
      </w:r>
      <w:r>
        <w:rPr>
          <w:rFonts w:ascii="Times New Roman" w:eastAsia="TimesNewRoman+1+1" w:hAnsi="Times New Roman"/>
          <w:sz w:val="28"/>
          <w:szCs w:val="28"/>
        </w:rPr>
        <w:t xml:space="preserve">молока здоровых </w:t>
      </w:r>
      <w:r w:rsidRPr="00AC38FE">
        <w:rPr>
          <w:rFonts w:ascii="Times New Roman" w:eastAsia="TimesNewRoman+1+1" w:hAnsi="Times New Roman"/>
          <w:sz w:val="28"/>
          <w:szCs w:val="28"/>
        </w:rPr>
        <w:t>животных были представлены, восновном, следующими видами: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aureus</w:t>
      </w:r>
      <w:r>
        <w:rPr>
          <w:rFonts w:ascii="Times New Roman" w:eastAsia="TimesNewRoman+1+1" w:hAnsi="Times New Roman"/>
          <w:sz w:val="28"/>
          <w:szCs w:val="28"/>
        </w:rPr>
        <w:t xml:space="preserve">, Str. аgalactiae, </w:t>
      </w:r>
      <w:r w:rsidRPr="00AC38FE">
        <w:rPr>
          <w:rFonts w:ascii="Times New Roman" w:eastAsia="TimesNewRoman+1+1" w:hAnsi="Times New Roman"/>
          <w:sz w:val="28"/>
          <w:szCs w:val="28"/>
        </w:rPr>
        <w:t>S. epidermidis,Str.</w:t>
      </w:r>
      <w:r w:rsidRPr="00AC38FE">
        <w:rPr>
          <w:rFonts w:ascii="Times New Roman" w:hAnsi="Times New Roman"/>
          <w:bCs/>
          <w:sz w:val="28"/>
          <w:szCs w:val="28"/>
        </w:rPr>
        <w:t xml:space="preserve"> р</w:t>
      </w:r>
      <w:r w:rsidRPr="00AC38FE">
        <w:rPr>
          <w:rFonts w:ascii="Times New Roman" w:hAnsi="Times New Roman"/>
          <w:bCs/>
          <w:sz w:val="28"/>
          <w:szCs w:val="28"/>
          <w:lang w:val="en-US"/>
        </w:rPr>
        <w:t>neumonia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 и E. coli.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>При бактериологическом исследовании проб молока от больных животных, микроорганизмы выделяли в 95-100 % случаев. Проведённые исследования показали, что при клинической форме мастита стафилококки (</w:t>
      </w:r>
      <w:r w:rsidRPr="00AC38FE">
        <w:rPr>
          <w:rStyle w:val="2"/>
          <w:color w:val="000000"/>
          <w:sz w:val="28"/>
          <w:szCs w:val="28"/>
          <w:lang w:val="en-US"/>
        </w:rPr>
        <w:t>Staphylococcusaureus</w:t>
      </w:r>
      <w:r w:rsidRPr="00AC38FE">
        <w:rPr>
          <w:rStyle w:val="2"/>
          <w:color w:val="000000"/>
          <w:sz w:val="28"/>
          <w:szCs w:val="28"/>
        </w:rPr>
        <w:t xml:space="preserve">, </w:t>
      </w:r>
      <w:r w:rsidRPr="00AC38FE">
        <w:rPr>
          <w:rStyle w:val="2"/>
          <w:color w:val="000000"/>
          <w:sz w:val="28"/>
          <w:szCs w:val="28"/>
          <w:lang w:val="en-US"/>
        </w:rPr>
        <w:t>Staphylococcusalbus</w:t>
      </w:r>
      <w:r w:rsidRPr="00AC38FE">
        <w:rPr>
          <w:rStyle w:val="2"/>
          <w:color w:val="000000"/>
          <w:sz w:val="28"/>
          <w:szCs w:val="28"/>
        </w:rPr>
        <w:t xml:space="preserve">, </w:t>
      </w:r>
      <w:r w:rsidRPr="00AC38FE">
        <w:rPr>
          <w:rStyle w:val="2"/>
          <w:color w:val="000000"/>
          <w:sz w:val="28"/>
          <w:szCs w:val="28"/>
          <w:lang w:val="en-US"/>
        </w:rPr>
        <w:t>Staphylococcuscitreus</w:t>
      </w:r>
      <w:r w:rsidRPr="00AC38FE">
        <w:rPr>
          <w:rStyle w:val="2"/>
          <w:color w:val="000000"/>
          <w:sz w:val="28"/>
          <w:szCs w:val="28"/>
        </w:rPr>
        <w:t>)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 были выделены в 65,3 %, стрептококки (Str. agalactiae, Str.</w:t>
      </w:r>
      <w:r w:rsidRPr="00AC38FE">
        <w:rPr>
          <w:rFonts w:ascii="Times New Roman" w:hAnsi="Times New Roman"/>
          <w:bCs/>
          <w:sz w:val="28"/>
          <w:szCs w:val="28"/>
        </w:rPr>
        <w:t xml:space="preserve"> р</w:t>
      </w:r>
      <w:r w:rsidRPr="00AC38FE">
        <w:rPr>
          <w:rFonts w:ascii="Times New Roman" w:hAnsi="Times New Roman"/>
          <w:bCs/>
          <w:sz w:val="28"/>
          <w:szCs w:val="28"/>
          <w:lang w:val="en-US"/>
        </w:rPr>
        <w:t>neumonia</w:t>
      </w:r>
      <w:r w:rsidRPr="00AC38FE">
        <w:rPr>
          <w:rFonts w:ascii="Times New Roman" w:hAnsi="Times New Roman"/>
          <w:bCs/>
          <w:sz w:val="28"/>
          <w:szCs w:val="28"/>
        </w:rPr>
        <w:t>,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Str. pyogenes,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Str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lactis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,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Str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faecium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) – в 23,2 %, </w:t>
      </w:r>
      <w:r w:rsidRPr="00AC38FE">
        <w:rPr>
          <w:rFonts w:ascii="Times New Roman" w:eastAsia="TimesNewRoman+1+1" w:hAnsi="Times New Roman"/>
          <w:sz w:val="28"/>
          <w:szCs w:val="28"/>
          <w:lang w:val="kk-KZ"/>
        </w:rPr>
        <w:t>кишечные палочки</w:t>
      </w:r>
      <w:r w:rsidRPr="00AC38FE">
        <w:rPr>
          <w:rFonts w:ascii="Times New Roman" w:eastAsia="TimesNewRoman+1+1" w:hAnsi="Times New Roman"/>
          <w:sz w:val="28"/>
          <w:szCs w:val="28"/>
        </w:rPr>
        <w:t>(E. coli) – в 10,6 % случаев.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>При субклинической форме заболевания существенных изменений частоты выделения бактерий не обнаружено: стафилококки (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aureus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,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91215F">
        <w:rPr>
          <w:rStyle w:val="2"/>
          <w:color w:val="000000"/>
          <w:sz w:val="28"/>
          <w:szCs w:val="28"/>
        </w:rPr>
        <w:t>а</w:t>
      </w:r>
      <w:r w:rsidRPr="00AC38FE">
        <w:rPr>
          <w:rStyle w:val="2"/>
          <w:color w:val="000000"/>
          <w:sz w:val="28"/>
          <w:szCs w:val="28"/>
          <w:lang w:val="en-US"/>
        </w:rPr>
        <w:t>lbus</w:t>
      </w:r>
      <w:r>
        <w:rPr>
          <w:rStyle w:val="2"/>
          <w:color w:val="000000"/>
          <w:sz w:val="28"/>
          <w:szCs w:val="28"/>
        </w:rPr>
        <w:t>,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</w:t>
      </w:r>
      <w:r w:rsidRPr="00AC38FE">
        <w:rPr>
          <w:rFonts w:ascii="Times New Roman" w:eastAsia="TimesNewRoman+1+1" w:hAnsi="Times New Roman"/>
          <w:sz w:val="28"/>
          <w:szCs w:val="28"/>
        </w:rPr>
        <w:t>.</w:t>
      </w:r>
      <w:r w:rsidRPr="00AC38FE">
        <w:rPr>
          <w:rStyle w:val="2"/>
          <w:color w:val="000000"/>
          <w:sz w:val="28"/>
          <w:szCs w:val="28"/>
          <w:lang w:val="en-US"/>
        </w:rPr>
        <w:t>citreus</w:t>
      </w:r>
      <w:r w:rsidRPr="00AC38FE">
        <w:rPr>
          <w:rFonts w:ascii="Times New Roman" w:eastAsia="TimesNewRoman+1+1" w:hAnsi="Times New Roman"/>
          <w:sz w:val="28"/>
          <w:szCs w:val="28"/>
        </w:rPr>
        <w:t>) – регистрировали у 68,7 %, стрептококки – у 24,3 %,</w:t>
      </w:r>
      <w:r>
        <w:rPr>
          <w:rFonts w:ascii="Times New Roman" w:eastAsia="TimesNewRoman+1+1" w:hAnsi="Times New Roman"/>
          <w:sz w:val="28"/>
          <w:szCs w:val="28"/>
          <w:lang w:val="kk-KZ"/>
        </w:rPr>
        <w:t>кишечные палочки - у 9,5%</w:t>
      </w:r>
      <w:r w:rsidRPr="00AC38FE">
        <w:rPr>
          <w:rFonts w:ascii="Times New Roman" w:eastAsia="TimesNewRoman+1+1" w:hAnsi="Times New Roman"/>
          <w:sz w:val="28"/>
          <w:szCs w:val="28"/>
        </w:rPr>
        <w:t>обследованных животных.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 xml:space="preserve"> Установлено, что лидирующим видом являлся S. aureus (59,8%),который наиболее часто выделялся при клинической форме заболеванияи 35,0 % - при субклинической форме, астрептококки составляли, соответственно,21,4 % и</w:t>
      </w:r>
      <w:r w:rsidRPr="00AC38FE">
        <w:rPr>
          <w:rFonts w:ascii="Times New Roman" w:eastAsia="TimesNewRoman+1+1" w:hAnsi="Times New Roman"/>
          <w:sz w:val="28"/>
          <w:szCs w:val="28"/>
          <w:lang w:val="kk-KZ"/>
        </w:rPr>
        <w:t>1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3,1 %. Среди выделенных стрептококков преобладалStr. agalactiae – 78,2 %; другие стрептококки былипредставлены следующими видами: Str. pyogenes (3,1%),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Str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lactis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 (4,8 %),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Str</w:t>
      </w:r>
      <w:r w:rsidRPr="00AC38FE">
        <w:rPr>
          <w:rFonts w:ascii="Times New Roman" w:eastAsia="TimesNewRoman+1+1" w:hAnsi="Times New Roman"/>
          <w:sz w:val="28"/>
          <w:szCs w:val="28"/>
        </w:rPr>
        <w:t>.</w:t>
      </w:r>
      <w:r w:rsidRPr="00AC38FE">
        <w:rPr>
          <w:rFonts w:ascii="Times New Roman" w:hAnsi="Times New Roman"/>
          <w:bCs/>
          <w:sz w:val="28"/>
          <w:szCs w:val="28"/>
        </w:rPr>
        <w:t xml:space="preserve"> р</w:t>
      </w:r>
      <w:r w:rsidRPr="00AC38FE">
        <w:rPr>
          <w:rFonts w:ascii="Times New Roman" w:hAnsi="Times New Roman"/>
          <w:bCs/>
          <w:sz w:val="28"/>
          <w:szCs w:val="28"/>
          <w:lang w:val="en-US"/>
        </w:rPr>
        <w:t>neumonia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 (5,9 %) и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Str</w:t>
      </w:r>
      <w:r w:rsidRPr="00AC38FE">
        <w:rPr>
          <w:rFonts w:ascii="Times New Roman" w:eastAsia="TimesNewRoman+1+1" w:hAnsi="Times New Roman"/>
          <w:sz w:val="28"/>
          <w:szCs w:val="28"/>
        </w:rPr>
        <w:t xml:space="preserve">. </w:t>
      </w:r>
      <w:r w:rsidRPr="00AC38FE">
        <w:rPr>
          <w:rFonts w:ascii="Times New Roman" w:eastAsia="TimesNewRoman+1+1" w:hAnsi="Times New Roman"/>
          <w:sz w:val="28"/>
          <w:szCs w:val="28"/>
          <w:lang w:val="en-US"/>
        </w:rPr>
        <w:t>faecium</w:t>
      </w:r>
      <w:r w:rsidRPr="00AC38FE">
        <w:rPr>
          <w:rFonts w:ascii="Times New Roman" w:eastAsia="TimesNewRoman+1+1" w:hAnsi="Times New Roman"/>
          <w:sz w:val="28"/>
          <w:szCs w:val="28"/>
        </w:rPr>
        <w:t>(1,9 %). У выделенных штаммов были изучены биологические свойства.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 xml:space="preserve">Полученные экспериментальные данные послужили основой для разработки схемы лечения разных форм мастита пробиотиком «Антакон». В начале перед производственным испытанием препарата «Антакон» на животных нами была изучена антагонистическая </w:t>
      </w:r>
      <w:r w:rsidRPr="00AC38FE">
        <w:rPr>
          <w:rFonts w:ascii="Times New Roman" w:hAnsi="Times New Roman"/>
          <w:sz w:val="28"/>
          <w:szCs w:val="28"/>
          <w:lang w:val="kk-KZ"/>
        </w:rPr>
        <w:t>активность   штамма E</w:t>
      </w:r>
      <w:r>
        <w:rPr>
          <w:rFonts w:ascii="Times New Roman" w:hAnsi="Times New Roman"/>
          <w:sz w:val="28"/>
          <w:szCs w:val="28"/>
          <w:lang w:val="kk-KZ"/>
        </w:rPr>
        <w:t>. coli 64Г, который используется</w:t>
      </w:r>
      <w:r w:rsidRPr="00AC38FE">
        <w:rPr>
          <w:rStyle w:val="FontStyle12"/>
          <w:sz w:val="28"/>
          <w:szCs w:val="28"/>
        </w:rPr>
        <w:t>в</w:t>
      </w:r>
      <w:r w:rsidRPr="00AC38FE">
        <w:rPr>
          <w:rFonts w:ascii="Times New Roman" w:hAnsi="Times New Roman"/>
          <w:color w:val="000000"/>
          <w:sz w:val="28"/>
          <w:szCs w:val="28"/>
        </w:rPr>
        <w:t xml:space="preserve"> качестве штамма – продуцента пробиотического препарата </w:t>
      </w:r>
      <w:r w:rsidRPr="00AC38FE">
        <w:rPr>
          <w:rFonts w:ascii="Times New Roman" w:eastAsia="TimesNewRoman+1+1" w:hAnsi="Times New Roman"/>
          <w:sz w:val="28"/>
          <w:szCs w:val="28"/>
        </w:rPr>
        <w:t>«Антакон»</w:t>
      </w:r>
      <w:r w:rsidRPr="00AC38FE">
        <w:rPr>
          <w:rFonts w:ascii="Times New Roman" w:hAnsi="Times New Roman"/>
          <w:iCs/>
          <w:sz w:val="28"/>
          <w:szCs w:val="28"/>
        </w:rPr>
        <w:t>.</w:t>
      </w:r>
    </w:p>
    <w:p w:rsidR="005F5041" w:rsidRPr="00AC38FE" w:rsidRDefault="005F5041" w:rsidP="00AC38FE">
      <w:pPr>
        <w:pStyle w:val="BodyText"/>
        <w:tabs>
          <w:tab w:val="left" w:pos="1614"/>
          <w:tab w:val="left" w:pos="3457"/>
        </w:tabs>
        <w:ind w:firstLine="709"/>
        <w:jc w:val="both"/>
        <w:rPr>
          <w:rStyle w:val="1"/>
          <w:sz w:val="28"/>
          <w:szCs w:val="28"/>
        </w:rPr>
      </w:pPr>
      <w:r w:rsidRPr="00AC38FE">
        <w:rPr>
          <w:szCs w:val="28"/>
          <w:lang w:val="kk-KZ"/>
        </w:rPr>
        <w:t>Определение спектра антагонистической активности  штамма E.coli 64Г проводили</w:t>
      </w:r>
      <w:r w:rsidRPr="00AC38FE">
        <w:rPr>
          <w:rStyle w:val="1"/>
          <w:sz w:val="28"/>
          <w:szCs w:val="28"/>
        </w:rPr>
        <w:t xml:space="preserve"> в  сравнении со штаммом, используемым в качестве пробиотика В. </w:t>
      </w:r>
      <w:r w:rsidRPr="00AC38FE">
        <w:rPr>
          <w:rStyle w:val="1"/>
          <w:sz w:val="28"/>
          <w:szCs w:val="28"/>
          <w:lang w:val="en-US" w:eastAsia="en-US"/>
        </w:rPr>
        <w:t>longum</w:t>
      </w:r>
      <w:r w:rsidRPr="00AC38FE">
        <w:rPr>
          <w:rStyle w:val="1"/>
          <w:sz w:val="28"/>
          <w:szCs w:val="28"/>
        </w:rPr>
        <w:t xml:space="preserve">В 379М. Культуру </w:t>
      </w:r>
      <w:r w:rsidRPr="00AC38FE">
        <w:rPr>
          <w:szCs w:val="28"/>
          <w:lang w:val="kk-KZ"/>
        </w:rPr>
        <w:t>E.coli</w:t>
      </w:r>
      <w:r w:rsidRPr="00AC38FE">
        <w:rPr>
          <w:rStyle w:val="1"/>
          <w:sz w:val="28"/>
          <w:szCs w:val="28"/>
        </w:rPr>
        <w:t xml:space="preserve"> 64Г выращивали на жидкой среде (МПБ) в термостате 16-18 ч при 37-38°С. Культуру В. </w:t>
      </w:r>
      <w:r w:rsidRPr="00AC38FE">
        <w:rPr>
          <w:rStyle w:val="1"/>
          <w:sz w:val="28"/>
          <w:szCs w:val="28"/>
          <w:lang w:val="en-US" w:eastAsia="en-US"/>
        </w:rPr>
        <w:t>longum</w:t>
      </w:r>
      <w:r w:rsidRPr="00AC38FE">
        <w:rPr>
          <w:rStyle w:val="1"/>
          <w:sz w:val="28"/>
          <w:szCs w:val="28"/>
        </w:rPr>
        <w:t xml:space="preserve">В 379М выращивали на  кукурузно-лактозной среде. Затем антагонистическую активность определяли </w:t>
      </w:r>
      <w:r w:rsidRPr="00AC38FE">
        <w:rPr>
          <w:rStyle w:val="9"/>
          <w:sz w:val="28"/>
          <w:szCs w:val="28"/>
        </w:rPr>
        <w:t xml:space="preserve">микробиологическим </w:t>
      </w:r>
      <w:r w:rsidRPr="00AC38FE">
        <w:rPr>
          <w:rStyle w:val="1"/>
          <w:sz w:val="28"/>
          <w:szCs w:val="28"/>
        </w:rPr>
        <w:t>способом – методом диффузии в агар</w:t>
      </w:r>
      <w:r w:rsidRPr="00AC38FE">
        <w:rPr>
          <w:rStyle w:val="1"/>
          <w:sz w:val="28"/>
          <w:szCs w:val="28"/>
          <w:lang w:val="ru-RU"/>
        </w:rPr>
        <w:t>е</w:t>
      </w:r>
      <w:r w:rsidRPr="00AC38FE">
        <w:rPr>
          <w:rStyle w:val="1"/>
          <w:sz w:val="28"/>
          <w:szCs w:val="28"/>
        </w:rPr>
        <w:t xml:space="preserve"> (метод лунок). В чашках Петри, засеянные тест-культурами, сделали лунки. В лунки вносили штаммы </w:t>
      </w:r>
      <w:r w:rsidRPr="00AC38FE">
        <w:rPr>
          <w:szCs w:val="28"/>
          <w:lang w:val="kk-KZ"/>
        </w:rPr>
        <w:t>E.coli</w:t>
      </w:r>
      <w:r w:rsidRPr="00AC38FE">
        <w:rPr>
          <w:rStyle w:val="1"/>
          <w:sz w:val="28"/>
          <w:szCs w:val="28"/>
        </w:rPr>
        <w:t xml:space="preserve"> 64Г  и В.</w:t>
      </w:r>
      <w:r w:rsidRPr="00AC38FE">
        <w:rPr>
          <w:rStyle w:val="1"/>
          <w:sz w:val="28"/>
          <w:szCs w:val="28"/>
          <w:lang w:val="en-US" w:eastAsia="en-US"/>
        </w:rPr>
        <w:t>longum</w:t>
      </w:r>
      <w:r w:rsidRPr="00AC38FE">
        <w:rPr>
          <w:rStyle w:val="1"/>
          <w:sz w:val="28"/>
          <w:szCs w:val="28"/>
        </w:rPr>
        <w:t>В 379М из расчета 1,0см</w:t>
      </w:r>
      <w:r w:rsidRPr="00AC38FE">
        <w:rPr>
          <w:rStyle w:val="1"/>
          <w:sz w:val="28"/>
          <w:szCs w:val="28"/>
          <w:vertAlign w:val="superscript"/>
        </w:rPr>
        <w:t>3</w:t>
      </w:r>
      <w:r w:rsidRPr="00AC38FE">
        <w:rPr>
          <w:rStyle w:val="1"/>
          <w:sz w:val="28"/>
          <w:szCs w:val="28"/>
        </w:rPr>
        <w:t xml:space="preserve">. Чашки выдерживали в термостате при 37°С в течение 18-24 </w:t>
      </w:r>
      <w:r w:rsidRPr="00AC38FE">
        <w:rPr>
          <w:rStyle w:val="9"/>
          <w:sz w:val="28"/>
          <w:szCs w:val="28"/>
        </w:rPr>
        <w:t xml:space="preserve">часов. </w:t>
      </w:r>
      <w:r w:rsidRPr="00AC38FE">
        <w:rPr>
          <w:rStyle w:val="1"/>
          <w:sz w:val="28"/>
          <w:szCs w:val="28"/>
        </w:rPr>
        <w:t>Измеряли диаметр задержки роста тест-культ</w:t>
      </w:r>
      <w:r>
        <w:rPr>
          <w:rStyle w:val="1"/>
          <w:sz w:val="28"/>
          <w:szCs w:val="28"/>
        </w:rPr>
        <w:t>ур (</w:t>
      </w:r>
      <w:r w:rsidRPr="00AC38FE">
        <w:rPr>
          <w:rStyle w:val="1"/>
          <w:sz w:val="28"/>
          <w:szCs w:val="28"/>
        </w:rPr>
        <w:t>Таблица 1).</w:t>
      </w:r>
    </w:p>
    <w:p w:rsidR="005F5041" w:rsidRPr="00AC38FE" w:rsidRDefault="005F5041" w:rsidP="00AC38FE">
      <w:pPr>
        <w:pStyle w:val="BodyText"/>
        <w:ind w:firstLine="709"/>
        <w:jc w:val="both"/>
        <w:rPr>
          <w:rStyle w:val="1"/>
          <w:sz w:val="28"/>
          <w:szCs w:val="28"/>
        </w:rPr>
      </w:pPr>
      <w:r w:rsidRPr="00AC38FE">
        <w:rPr>
          <w:rStyle w:val="1"/>
          <w:sz w:val="28"/>
          <w:szCs w:val="28"/>
        </w:rPr>
        <w:t xml:space="preserve">Результаты исследований показали, что оба штамма обладают антагонистической активностью по отношению к тест-культурам. </w:t>
      </w:r>
      <w:r w:rsidRPr="00AC38FE">
        <w:rPr>
          <w:szCs w:val="28"/>
        </w:rPr>
        <w:t xml:space="preserve">Установлены значительные вариации в уровне антагонистической активности </w:t>
      </w:r>
      <w:r w:rsidRPr="00AC38FE">
        <w:rPr>
          <w:rStyle w:val="1"/>
          <w:sz w:val="28"/>
          <w:szCs w:val="28"/>
        </w:rPr>
        <w:t xml:space="preserve">штаммов </w:t>
      </w:r>
      <w:r w:rsidRPr="00AC38FE">
        <w:rPr>
          <w:szCs w:val="28"/>
        </w:rPr>
        <w:t xml:space="preserve">в спектре подавляемой ими микрофлоры. </w:t>
      </w:r>
      <w:r w:rsidRPr="00AC38FE">
        <w:rPr>
          <w:rStyle w:val="1"/>
          <w:sz w:val="28"/>
          <w:szCs w:val="28"/>
        </w:rPr>
        <w:t>Однако</w:t>
      </w:r>
      <w:r w:rsidRPr="00AC38FE">
        <w:rPr>
          <w:rStyle w:val="1"/>
          <w:sz w:val="28"/>
          <w:szCs w:val="28"/>
          <w:lang w:val="ru-RU"/>
        </w:rPr>
        <w:t xml:space="preserve"> представленных</w:t>
      </w:r>
      <w:r w:rsidRPr="00AC38FE">
        <w:rPr>
          <w:rStyle w:val="1"/>
          <w:sz w:val="28"/>
          <w:szCs w:val="28"/>
        </w:rPr>
        <w:t xml:space="preserve"> из материалов таблицы</w:t>
      </w:r>
      <w:r w:rsidRPr="00AC38FE">
        <w:rPr>
          <w:rStyle w:val="1"/>
          <w:sz w:val="28"/>
          <w:szCs w:val="28"/>
          <w:lang w:val="ru-RU"/>
        </w:rPr>
        <w:t xml:space="preserve"> 1</w:t>
      </w:r>
      <w:r w:rsidRPr="00AC38FE">
        <w:rPr>
          <w:rStyle w:val="1"/>
          <w:sz w:val="28"/>
          <w:szCs w:val="28"/>
        </w:rPr>
        <w:t xml:space="preserve"> видно, что штамм </w:t>
      </w:r>
      <w:r w:rsidRPr="00AC38FE">
        <w:rPr>
          <w:szCs w:val="28"/>
          <w:lang w:val="en-US" w:eastAsia="en-US"/>
        </w:rPr>
        <w:t>E</w:t>
      </w:r>
      <w:r w:rsidRPr="00AC38FE">
        <w:rPr>
          <w:szCs w:val="28"/>
          <w:lang w:eastAsia="en-US"/>
        </w:rPr>
        <w:t>.</w:t>
      </w:r>
      <w:r w:rsidRPr="00AC38FE">
        <w:rPr>
          <w:szCs w:val="28"/>
          <w:lang w:val="en-US" w:eastAsia="en-US"/>
        </w:rPr>
        <w:t>coli</w:t>
      </w:r>
      <w:r w:rsidRPr="00AC38FE">
        <w:rPr>
          <w:szCs w:val="28"/>
        </w:rPr>
        <w:t>64Г</w:t>
      </w:r>
      <w:r w:rsidRPr="00AC38FE">
        <w:rPr>
          <w:rStyle w:val="1"/>
          <w:sz w:val="28"/>
          <w:szCs w:val="28"/>
        </w:rPr>
        <w:t xml:space="preserve"> подавляет рост всех исследованных тест-культур, причем</w:t>
      </w:r>
      <w:r w:rsidRPr="00AC38FE">
        <w:rPr>
          <w:rStyle w:val="1"/>
          <w:sz w:val="28"/>
          <w:szCs w:val="28"/>
          <w:lang w:val="ru-RU"/>
        </w:rPr>
        <w:t>,</w:t>
      </w:r>
      <w:r w:rsidRPr="00AC38FE">
        <w:rPr>
          <w:rStyle w:val="1"/>
          <w:sz w:val="28"/>
          <w:szCs w:val="28"/>
        </w:rPr>
        <w:t xml:space="preserve"> зона подавления роста большинства тест-культур превышает, чем штамм В. </w:t>
      </w:r>
      <w:r w:rsidRPr="00AC38FE">
        <w:rPr>
          <w:rStyle w:val="1"/>
          <w:sz w:val="28"/>
          <w:szCs w:val="28"/>
          <w:lang w:val="en-US" w:eastAsia="en-US"/>
        </w:rPr>
        <w:t>Longum</w:t>
      </w:r>
      <w:r w:rsidRPr="00AC38FE">
        <w:rPr>
          <w:rStyle w:val="1"/>
          <w:sz w:val="28"/>
          <w:szCs w:val="28"/>
        </w:rPr>
        <w:t xml:space="preserve">В 379М. Это свидетельствует о более высокой антимикробной активности предлагаемого штамма Е . </w:t>
      </w:r>
      <w:r w:rsidRPr="00AC38FE">
        <w:rPr>
          <w:rStyle w:val="1"/>
          <w:sz w:val="28"/>
          <w:szCs w:val="28"/>
          <w:lang w:val="en-US" w:eastAsia="en-US"/>
        </w:rPr>
        <w:t>coli</w:t>
      </w:r>
      <w:r w:rsidRPr="00AC38FE">
        <w:rPr>
          <w:rStyle w:val="1"/>
          <w:sz w:val="28"/>
          <w:szCs w:val="28"/>
        </w:rPr>
        <w:t>64Г.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8FE">
        <w:rPr>
          <w:rFonts w:ascii="Times New Roman" w:hAnsi="Times New Roman"/>
          <w:sz w:val="28"/>
          <w:szCs w:val="28"/>
        </w:rPr>
        <w:t>Таким образом, пробиотический</w:t>
      </w:r>
      <w:r w:rsidRPr="00AC38FE">
        <w:rPr>
          <w:rFonts w:ascii="Times New Roman" w:hAnsi="Times New Roman"/>
          <w:sz w:val="28"/>
          <w:szCs w:val="28"/>
          <w:lang w:val="kk-KZ"/>
        </w:rPr>
        <w:t xml:space="preserve">штамм </w:t>
      </w:r>
      <w:r w:rsidRPr="00AC38FE">
        <w:rPr>
          <w:rFonts w:ascii="Times New Roman" w:hAnsi="Times New Roman"/>
          <w:iCs/>
          <w:sz w:val="28"/>
          <w:szCs w:val="28"/>
        </w:rPr>
        <w:t>E. coli 64Г</w:t>
      </w:r>
      <w:r w:rsidRPr="00AC38FE">
        <w:rPr>
          <w:rFonts w:ascii="Times New Roman" w:hAnsi="Times New Roman"/>
          <w:sz w:val="28"/>
          <w:szCs w:val="28"/>
        </w:rPr>
        <w:t xml:space="preserve"> обладает выраженными антагонистическими сво</w:t>
      </w:r>
      <w:r>
        <w:rPr>
          <w:rFonts w:ascii="Times New Roman" w:hAnsi="Times New Roman"/>
          <w:sz w:val="28"/>
          <w:szCs w:val="28"/>
        </w:rPr>
        <w:t>йствами и в дальнейшем нами был использован</w:t>
      </w:r>
      <w:r w:rsidRPr="00AC38FE">
        <w:rPr>
          <w:rFonts w:ascii="Times New Roman" w:hAnsi="Times New Roman"/>
          <w:sz w:val="28"/>
          <w:szCs w:val="28"/>
        </w:rPr>
        <w:t xml:space="preserve"> для изготовл</w:t>
      </w:r>
      <w:r>
        <w:rPr>
          <w:rFonts w:ascii="Times New Roman" w:hAnsi="Times New Roman"/>
          <w:sz w:val="28"/>
          <w:szCs w:val="28"/>
        </w:rPr>
        <w:t>ения пробиотического препарата.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041" w:rsidRPr="00AC38FE" w:rsidRDefault="005F5041" w:rsidP="00AC38FE">
      <w:pPr>
        <w:pStyle w:val="BodyText"/>
        <w:tabs>
          <w:tab w:val="left" w:pos="1614"/>
          <w:tab w:val="left" w:pos="3457"/>
        </w:tabs>
        <w:ind w:firstLine="709"/>
        <w:rPr>
          <w:rStyle w:val="1"/>
          <w:sz w:val="28"/>
          <w:szCs w:val="28"/>
          <w:lang w:val="kk-KZ"/>
        </w:rPr>
      </w:pPr>
      <w:r w:rsidRPr="00AC38FE">
        <w:rPr>
          <w:rStyle w:val="1"/>
          <w:sz w:val="28"/>
          <w:szCs w:val="28"/>
        </w:rPr>
        <w:t xml:space="preserve">Таблица </w:t>
      </w:r>
      <w:r w:rsidRPr="00AC38FE">
        <w:rPr>
          <w:rStyle w:val="1"/>
          <w:sz w:val="28"/>
          <w:szCs w:val="28"/>
          <w:lang w:val="kk-KZ"/>
        </w:rPr>
        <w:t>1</w:t>
      </w:r>
      <w:r w:rsidRPr="00AC38FE">
        <w:rPr>
          <w:rStyle w:val="1"/>
          <w:sz w:val="28"/>
          <w:szCs w:val="28"/>
        </w:rPr>
        <w:t xml:space="preserve"> - Результаты определения антагонистической активности штаммов Е.</w:t>
      </w:r>
      <w:r w:rsidRPr="00AC38FE">
        <w:rPr>
          <w:rStyle w:val="1"/>
          <w:sz w:val="28"/>
          <w:szCs w:val="28"/>
          <w:lang w:val="en-US" w:eastAsia="en-US"/>
        </w:rPr>
        <w:t>coli</w:t>
      </w:r>
      <w:r w:rsidRPr="00AC38FE">
        <w:rPr>
          <w:rStyle w:val="1"/>
          <w:sz w:val="28"/>
          <w:szCs w:val="28"/>
        </w:rPr>
        <w:t xml:space="preserve">64Г и </w:t>
      </w:r>
      <w:r w:rsidRPr="00AC38FE">
        <w:rPr>
          <w:szCs w:val="28"/>
        </w:rPr>
        <w:t>В.</w:t>
      </w:r>
      <w:r w:rsidRPr="00AC38FE">
        <w:rPr>
          <w:szCs w:val="28"/>
          <w:lang w:val="en-US" w:eastAsia="en-US"/>
        </w:rPr>
        <w:t>longum</w:t>
      </w:r>
      <w:r w:rsidRPr="00AC38FE">
        <w:rPr>
          <w:rStyle w:val="1"/>
          <w:sz w:val="28"/>
          <w:szCs w:val="28"/>
        </w:rPr>
        <w:t>В 379М</w:t>
      </w:r>
    </w:p>
    <w:p w:rsidR="005F5041" w:rsidRPr="00AC38FE" w:rsidRDefault="005F5041" w:rsidP="00AC38FE">
      <w:pPr>
        <w:pStyle w:val="BodyText"/>
        <w:tabs>
          <w:tab w:val="left" w:pos="1614"/>
          <w:tab w:val="left" w:pos="3457"/>
        </w:tabs>
        <w:ind w:firstLine="709"/>
        <w:jc w:val="both"/>
        <w:rPr>
          <w:rStyle w:val="1"/>
          <w:sz w:val="28"/>
          <w:szCs w:val="28"/>
          <w:lang w:val="kk-K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0"/>
        <w:gridCol w:w="2792"/>
        <w:gridCol w:w="3115"/>
      </w:tblGrid>
      <w:tr w:rsidR="005F5041" w:rsidRPr="00595170" w:rsidTr="0091215F">
        <w:trPr>
          <w:trHeight w:val="480"/>
          <w:jc w:val="center"/>
        </w:trPr>
        <w:tc>
          <w:tcPr>
            <w:tcW w:w="3260" w:type="dxa"/>
            <w:vMerge w:val="restart"/>
            <w:vAlign w:val="center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Тест культуры</w:t>
            </w:r>
          </w:p>
        </w:tc>
        <w:tc>
          <w:tcPr>
            <w:tcW w:w="5907" w:type="dxa"/>
            <w:gridSpan w:val="2"/>
            <w:vAlign w:val="center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Зона задержки тест культур, в мм</w:t>
            </w:r>
          </w:p>
        </w:tc>
      </w:tr>
      <w:tr w:rsidR="005F5041" w:rsidRPr="00595170" w:rsidTr="0091215F">
        <w:trPr>
          <w:trHeight w:val="248"/>
          <w:jc w:val="center"/>
        </w:trPr>
        <w:tc>
          <w:tcPr>
            <w:tcW w:w="3260" w:type="dxa"/>
            <w:vMerge/>
            <w:vAlign w:val="center"/>
          </w:tcPr>
          <w:p w:rsidR="005F5041" w:rsidRPr="00AC38FE" w:rsidRDefault="005F5041" w:rsidP="0091215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en-US" w:eastAsia="en-US"/>
              </w:rPr>
              <w:t xml:space="preserve">E.coli </w:t>
            </w:r>
            <w:r w:rsidRPr="00AC38FE">
              <w:rPr>
                <w:bCs/>
                <w:szCs w:val="28"/>
                <w:lang w:val="ru-RU"/>
              </w:rPr>
              <w:t>64Г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В.</w:t>
            </w:r>
            <w:r w:rsidRPr="00AC38FE">
              <w:rPr>
                <w:bCs/>
                <w:szCs w:val="28"/>
                <w:lang w:val="en-US" w:eastAsia="en-US"/>
              </w:rPr>
              <w:t>longum</w:t>
            </w:r>
            <w:r w:rsidRPr="00AC38FE">
              <w:rPr>
                <w:bCs/>
                <w:szCs w:val="28"/>
                <w:lang w:val="ru-RU"/>
              </w:rPr>
              <w:t>В 379М</w:t>
            </w:r>
          </w:p>
        </w:tc>
      </w:tr>
      <w:tr w:rsidR="005F5041" w:rsidRPr="00595170" w:rsidTr="0091215F">
        <w:trPr>
          <w:trHeight w:val="235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en-US" w:eastAsia="en-US"/>
              </w:rPr>
              <w:t>E.coli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20,6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15,2</w:t>
            </w:r>
          </w:p>
        </w:tc>
      </w:tr>
      <w:tr w:rsidR="005F5041" w:rsidRPr="00595170" w:rsidTr="0091215F">
        <w:trPr>
          <w:trHeight w:val="326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en-US" w:eastAsia="en-US"/>
              </w:rPr>
              <w:t>Sal.dublin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22,9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10,4</w:t>
            </w:r>
          </w:p>
        </w:tc>
      </w:tr>
      <w:tr w:rsidR="005F5041" w:rsidRPr="00595170" w:rsidTr="0091215F">
        <w:trPr>
          <w:trHeight w:val="259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en-US" w:eastAsia="en-US"/>
              </w:rPr>
              <w:t>Sal.abortusovis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29,4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16,3</w:t>
            </w:r>
          </w:p>
        </w:tc>
      </w:tr>
      <w:tr w:rsidR="005F5041" w:rsidRPr="00595170" w:rsidTr="0091215F">
        <w:trPr>
          <w:trHeight w:val="222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en-US" w:eastAsia="en-US"/>
              </w:rPr>
              <w:t xml:space="preserve">Sal. </w:t>
            </w:r>
            <w:r w:rsidRPr="00AC38FE">
              <w:rPr>
                <w:bCs/>
                <w:szCs w:val="28"/>
                <w:lang w:val="ru-RU" w:eastAsia="en-US"/>
              </w:rPr>
              <w:t>с</w:t>
            </w:r>
            <w:r w:rsidRPr="00AC38FE">
              <w:rPr>
                <w:bCs/>
                <w:szCs w:val="28"/>
                <w:lang w:val="en-US" w:eastAsia="en-US"/>
              </w:rPr>
              <w:t>holeraesuis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27,5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ru-RU"/>
              </w:rPr>
            </w:pPr>
            <w:r w:rsidRPr="00AC38FE">
              <w:rPr>
                <w:bCs/>
                <w:szCs w:val="28"/>
                <w:lang w:val="ru-RU"/>
              </w:rPr>
              <w:t>14,5</w:t>
            </w:r>
          </w:p>
        </w:tc>
      </w:tr>
      <w:tr w:rsidR="005F5041" w:rsidRPr="00595170" w:rsidTr="0091215F">
        <w:trPr>
          <w:trHeight w:val="311"/>
          <w:jc w:val="center"/>
        </w:trPr>
        <w:tc>
          <w:tcPr>
            <w:tcW w:w="3260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 xml:space="preserve">Sal. </w:t>
            </w:r>
            <w:r>
              <w:rPr>
                <w:bCs/>
                <w:szCs w:val="28"/>
                <w:lang w:val="en-US" w:eastAsia="en-US"/>
              </w:rPr>
              <w:t>t</w:t>
            </w:r>
            <w:r w:rsidRPr="00AC38FE">
              <w:rPr>
                <w:bCs/>
                <w:szCs w:val="28"/>
                <w:lang w:val="en-US" w:eastAsia="en-US"/>
              </w:rPr>
              <w:t>yphimurium</w:t>
            </w:r>
          </w:p>
        </w:tc>
        <w:tc>
          <w:tcPr>
            <w:tcW w:w="2792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91215F">
              <w:rPr>
                <w:bCs/>
                <w:szCs w:val="28"/>
                <w:lang w:val="en-US"/>
              </w:rPr>
              <w:t>24,8</w:t>
            </w:r>
          </w:p>
        </w:tc>
        <w:tc>
          <w:tcPr>
            <w:tcW w:w="3115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91215F">
              <w:rPr>
                <w:bCs/>
                <w:szCs w:val="28"/>
                <w:lang w:val="en-US"/>
              </w:rPr>
              <w:t>13,7</w:t>
            </w:r>
          </w:p>
        </w:tc>
      </w:tr>
      <w:tr w:rsidR="005F5041" w:rsidRPr="00595170" w:rsidTr="0091215F">
        <w:trPr>
          <w:trHeight w:val="259"/>
          <w:jc w:val="center"/>
        </w:trPr>
        <w:tc>
          <w:tcPr>
            <w:tcW w:w="3260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>Proteus vulgaris</w:t>
            </w:r>
          </w:p>
        </w:tc>
        <w:tc>
          <w:tcPr>
            <w:tcW w:w="2792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91215F">
              <w:rPr>
                <w:bCs/>
                <w:szCs w:val="28"/>
                <w:lang w:val="en-US"/>
              </w:rPr>
              <w:t>18,6</w:t>
            </w:r>
          </w:p>
        </w:tc>
        <w:tc>
          <w:tcPr>
            <w:tcW w:w="3115" w:type="dxa"/>
          </w:tcPr>
          <w:p w:rsidR="005F5041" w:rsidRPr="0091215F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91215F">
              <w:rPr>
                <w:bCs/>
                <w:szCs w:val="28"/>
                <w:lang w:val="en-US"/>
              </w:rPr>
              <w:t>10,6</w:t>
            </w:r>
          </w:p>
        </w:tc>
      </w:tr>
      <w:tr w:rsidR="005F5041" w:rsidRPr="00595170" w:rsidTr="0091215F">
        <w:trPr>
          <w:trHeight w:val="222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 xml:space="preserve">Staph. </w:t>
            </w:r>
            <w:r>
              <w:rPr>
                <w:bCs/>
                <w:szCs w:val="28"/>
                <w:lang w:val="ru-RU" w:eastAsia="en-US"/>
              </w:rPr>
              <w:t>a</w:t>
            </w:r>
            <w:r w:rsidRPr="00AC38FE">
              <w:rPr>
                <w:bCs/>
                <w:szCs w:val="28"/>
                <w:lang w:val="en-US" w:eastAsia="en-US"/>
              </w:rPr>
              <w:t>ureus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22,6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13,7</w:t>
            </w:r>
          </w:p>
        </w:tc>
      </w:tr>
      <w:tr w:rsidR="005F5041" w:rsidRPr="00595170" w:rsidTr="0091215F">
        <w:trPr>
          <w:trHeight w:val="211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 xml:space="preserve">Staph. </w:t>
            </w:r>
            <w:r>
              <w:rPr>
                <w:bCs/>
                <w:szCs w:val="28"/>
                <w:lang w:val="ru-RU" w:eastAsia="en-US"/>
              </w:rPr>
              <w:t>a</w:t>
            </w:r>
            <w:r w:rsidRPr="00AC38FE">
              <w:rPr>
                <w:bCs/>
                <w:szCs w:val="28"/>
                <w:lang w:val="en-US" w:eastAsia="en-US"/>
              </w:rPr>
              <w:t>lbus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23,9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14,4</w:t>
            </w:r>
          </w:p>
        </w:tc>
      </w:tr>
      <w:tr w:rsidR="005F5041" w:rsidRPr="00595170" w:rsidTr="0091215F">
        <w:trPr>
          <w:trHeight w:val="289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>Streptococcus pneumonia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24,6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16,5</w:t>
            </w:r>
          </w:p>
        </w:tc>
      </w:tr>
      <w:tr w:rsidR="005F5041" w:rsidRPr="00595170" w:rsidTr="0091215F">
        <w:trPr>
          <w:trHeight w:val="238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>Klebsiella pneumonia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18,7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12,5</w:t>
            </w:r>
          </w:p>
        </w:tc>
      </w:tr>
      <w:tr w:rsidR="005F5041" w:rsidRPr="00595170" w:rsidTr="0091215F">
        <w:trPr>
          <w:trHeight w:val="199"/>
          <w:jc w:val="center"/>
        </w:trPr>
        <w:tc>
          <w:tcPr>
            <w:tcW w:w="3260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 w:eastAsia="en-US"/>
              </w:rPr>
              <w:t>Bacillus subtilis</w:t>
            </w:r>
          </w:p>
        </w:tc>
        <w:tc>
          <w:tcPr>
            <w:tcW w:w="2792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17,8</w:t>
            </w:r>
          </w:p>
        </w:tc>
        <w:tc>
          <w:tcPr>
            <w:tcW w:w="3115" w:type="dxa"/>
          </w:tcPr>
          <w:p w:rsidR="005F5041" w:rsidRPr="00AC38FE" w:rsidRDefault="005F5041" w:rsidP="0091215F">
            <w:pPr>
              <w:pStyle w:val="BodyText"/>
              <w:keepNext/>
              <w:ind w:firstLine="709"/>
              <w:rPr>
                <w:bCs/>
                <w:szCs w:val="28"/>
                <w:lang w:val="en-US"/>
              </w:rPr>
            </w:pPr>
            <w:r w:rsidRPr="00AC38FE">
              <w:rPr>
                <w:bCs/>
                <w:szCs w:val="28"/>
                <w:lang w:val="en-US"/>
              </w:rPr>
              <w:t>13,6</w:t>
            </w:r>
          </w:p>
        </w:tc>
      </w:tr>
    </w:tbl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"/>
          <w:b/>
          <w:color w:val="000000"/>
          <w:sz w:val="28"/>
          <w:szCs w:val="28"/>
        </w:rPr>
      </w:pP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 xml:space="preserve">В группе животных с клиническим маститом сроки выздоровления составилиот 4 до 8 суток, из 100 коров выздоровели 79 (79,0%), а у 21 % животных было достигнуто существенное улучшение состояния. 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>В группе животных с субклиническим маститом выздоровление наступило через 2 – 5 суток, положительный лечебный эффект был получен у 86 коров (86,0 %).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>При бактериологическом обследовании подопытных животных микроорганизмыбыли выделены лишь из 22 % проб.</w:t>
      </w:r>
    </w:p>
    <w:p w:rsidR="005F5041" w:rsidRPr="00AC38FE" w:rsidRDefault="005F5041" w:rsidP="00AC38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8FE">
        <w:rPr>
          <w:rFonts w:ascii="Times New Roman" w:hAnsi="Times New Roman"/>
          <w:b/>
          <w:sz w:val="28"/>
          <w:szCs w:val="28"/>
        </w:rPr>
        <w:t>Выводы.</w:t>
      </w:r>
      <w:r w:rsidRPr="00AC38FE">
        <w:rPr>
          <w:rFonts w:ascii="Times New Roman" w:hAnsi="Times New Roman"/>
          <w:sz w:val="28"/>
          <w:szCs w:val="28"/>
        </w:rPr>
        <w:t>Результаты производственной апробац</w:t>
      </w:r>
      <w:r>
        <w:rPr>
          <w:rFonts w:ascii="Times New Roman" w:hAnsi="Times New Roman"/>
          <w:sz w:val="28"/>
          <w:szCs w:val="28"/>
        </w:rPr>
        <w:t xml:space="preserve">ии показали, что использование </w:t>
      </w:r>
      <w:r w:rsidRPr="00AC38FE">
        <w:rPr>
          <w:rFonts w:ascii="Times New Roman" w:hAnsi="Times New Roman"/>
          <w:sz w:val="28"/>
          <w:szCs w:val="28"/>
        </w:rPr>
        <w:t>препарата</w:t>
      </w:r>
      <w:r>
        <w:rPr>
          <w:rFonts w:ascii="Times New Roman" w:hAnsi="Times New Roman"/>
          <w:sz w:val="28"/>
          <w:szCs w:val="28"/>
          <w:lang w:val="kk-KZ"/>
        </w:rPr>
        <w:t xml:space="preserve"> «Антакон»</w:t>
      </w:r>
      <w:r w:rsidRPr="00AC38FE">
        <w:rPr>
          <w:rFonts w:ascii="Times New Roman" w:hAnsi="Times New Roman"/>
          <w:sz w:val="28"/>
          <w:szCs w:val="28"/>
        </w:rPr>
        <w:t xml:space="preserve"> значительно снижает заболеваемость коров маститом, улучшает их общее состояние организма. 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8FE">
        <w:rPr>
          <w:rFonts w:ascii="Times New Roman" w:eastAsia="TimesNewRoman+1+1" w:hAnsi="Times New Roman"/>
          <w:sz w:val="28"/>
          <w:szCs w:val="28"/>
        </w:rPr>
        <w:t>Таким образом, следует отметить, что новый метод лечения маститов позволяет сократить сроки лечения у коров, снижает процент бактерионосительства у животных – реконвалесцентов иизбежать формирования новых антибиотикорезистентных штаммов микроорганизмов.</w:t>
      </w: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+1+1" w:hAnsi="Times New Roman"/>
          <w:sz w:val="28"/>
          <w:szCs w:val="28"/>
        </w:rPr>
      </w:pPr>
    </w:p>
    <w:p w:rsidR="005F5041" w:rsidRPr="00AC38FE" w:rsidRDefault="005F5041" w:rsidP="00AC3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C38FE">
        <w:rPr>
          <w:rStyle w:val="2"/>
          <w:b/>
          <w:color w:val="000000"/>
          <w:sz w:val="28"/>
          <w:szCs w:val="28"/>
        </w:rPr>
        <w:t>Литература.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FE">
        <w:rPr>
          <w:rFonts w:ascii="Times New Roman" w:hAnsi="Times New Roman" w:cs="Times New Roman"/>
          <w:sz w:val="28"/>
          <w:szCs w:val="28"/>
        </w:rPr>
        <w:t xml:space="preserve">1.Хилькевич Н.М. Профилактика и лечение мастита.// Ветеринария. 1982. - №4. - с.44. 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BA5">
        <w:rPr>
          <w:rFonts w:ascii="Times New Roman" w:hAnsi="Times New Roman" w:cs="Times New Roman"/>
          <w:sz w:val="28"/>
          <w:szCs w:val="28"/>
        </w:rPr>
        <w:t xml:space="preserve">2.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Bishof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D2BA5">
        <w:rPr>
          <w:rFonts w:ascii="Times New Roman" w:hAnsi="Times New Roman" w:cs="Times New Roman"/>
          <w:sz w:val="28"/>
          <w:szCs w:val="28"/>
        </w:rPr>
        <w:t xml:space="preserve">.,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Streka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D2BA5">
        <w:rPr>
          <w:rFonts w:ascii="Times New Roman" w:hAnsi="Times New Roman" w:cs="Times New Roman"/>
          <w:sz w:val="28"/>
          <w:szCs w:val="28"/>
        </w:rPr>
        <w:t xml:space="preserve">.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Vysledkyoverovane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pripavkualbadryplasprilecbemastitid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D2BA5">
        <w:rPr>
          <w:rFonts w:ascii="Times New Roman" w:hAnsi="Times New Roman" w:cs="Times New Roman"/>
          <w:sz w:val="28"/>
          <w:szCs w:val="28"/>
        </w:rPr>
        <w:t xml:space="preserve">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zapranlosti</w:t>
      </w:r>
      <w:r w:rsidRPr="004D2BA5">
        <w:rPr>
          <w:rFonts w:ascii="Times New Roman" w:hAnsi="Times New Roman" w:cs="Times New Roman"/>
          <w:sz w:val="28"/>
          <w:szCs w:val="28"/>
        </w:rPr>
        <w:t xml:space="preserve">.//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 xml:space="preserve">Veterinarstvi, 1985, 35,10. 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8FE">
        <w:rPr>
          <w:rFonts w:ascii="Times New Roman" w:hAnsi="Times New Roman" w:cs="Times New Roman"/>
          <w:sz w:val="28"/>
          <w:szCs w:val="28"/>
          <w:lang w:val="en-US"/>
        </w:rPr>
        <w:t xml:space="preserve">3. Elad.D., Shigel N.V., Winkler N., Klinger I., Fuchs V. , Saran A., Faingold D. Feed contamination With CandidoCruscias a probable sourse of mycotismastitisin dairy cows // E.Am.Veter. Med. Assn. 1995. vol.5207 - №5 - p.620-622. 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8FE">
        <w:rPr>
          <w:rFonts w:ascii="Times New Roman" w:hAnsi="Times New Roman" w:cs="Times New Roman"/>
          <w:sz w:val="28"/>
          <w:szCs w:val="28"/>
          <w:lang w:val="en-US"/>
        </w:rPr>
        <w:t xml:space="preserve">4.Perdigon, G Immune system simulation by probiotics IG.Perdigon, S. Alvarez, M. Rachid, G. Aguero, N. Gobbato/J. Dairy science 1995, - 78(7). - P. 1597-1606. 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FE">
        <w:rPr>
          <w:rFonts w:ascii="Times New Roman" w:hAnsi="Times New Roman" w:cs="Times New Roman"/>
          <w:sz w:val="28"/>
          <w:szCs w:val="28"/>
          <w:lang w:val="en-US"/>
        </w:rPr>
        <w:t>5. Graft R.G., Finch J.M. Phagocitosis of streptococcus uberis by bevine mammary gland macrofages // Res. Inveter</w:t>
      </w:r>
      <w:r w:rsidRPr="00AC38FE">
        <w:rPr>
          <w:rFonts w:ascii="Times New Roman" w:hAnsi="Times New Roman" w:cs="Times New Roman"/>
          <w:sz w:val="28"/>
          <w:szCs w:val="28"/>
        </w:rPr>
        <w:t xml:space="preserve">.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Sc</w:t>
      </w:r>
      <w:r w:rsidRPr="00AC38FE">
        <w:rPr>
          <w:rFonts w:ascii="Times New Roman" w:hAnsi="Times New Roman" w:cs="Times New Roman"/>
          <w:sz w:val="28"/>
          <w:szCs w:val="28"/>
        </w:rPr>
        <w:t>. 1997.-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vol</w:t>
      </w:r>
      <w:r w:rsidRPr="00AC38FE">
        <w:rPr>
          <w:rFonts w:ascii="Times New Roman" w:hAnsi="Times New Roman" w:cs="Times New Roman"/>
          <w:sz w:val="28"/>
          <w:szCs w:val="28"/>
        </w:rPr>
        <w:t xml:space="preserve">. 62. - №1. - </w:t>
      </w:r>
      <w:r w:rsidRPr="00AC38F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C38FE">
        <w:rPr>
          <w:rFonts w:ascii="Times New Roman" w:hAnsi="Times New Roman" w:cs="Times New Roman"/>
          <w:sz w:val="28"/>
          <w:szCs w:val="28"/>
        </w:rPr>
        <w:t xml:space="preserve">. 7478. </w:t>
      </w:r>
    </w:p>
    <w:p w:rsidR="005F5041" w:rsidRPr="00AC38FE" w:rsidRDefault="005F5041" w:rsidP="00AC38F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FE">
        <w:rPr>
          <w:rFonts w:ascii="Times New Roman" w:hAnsi="Times New Roman" w:cs="Times New Roman"/>
          <w:sz w:val="28"/>
          <w:szCs w:val="28"/>
        </w:rPr>
        <w:t xml:space="preserve">6.Исайкина, Е.Ю. Диагностика и лечение субклинического мастита стафилококковой и стрептококковой этиологии крупного рогатого скота/ Н.А. Сивожелезова, О.Л. Карташова, Е.Ю. Исайкина. Методические рекомендации. Оренбург, 2002. - 14 с. </w:t>
      </w:r>
    </w:p>
    <w:p w:rsidR="005F5041" w:rsidRPr="00AC38FE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8FE">
        <w:rPr>
          <w:rFonts w:ascii="Times New Roman" w:hAnsi="Times New Roman"/>
          <w:sz w:val="28"/>
          <w:szCs w:val="28"/>
        </w:rPr>
        <w:t>7.Определитель бактерий Берджи. //под ред. Дж. Хоулта, Н. Крига, П. Снита и др. 9-е издание. М., Мир, 1997, 800 с.</w:t>
      </w:r>
    </w:p>
    <w:p w:rsidR="005F5041" w:rsidRDefault="005F5041" w:rsidP="00AC3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041" w:rsidRPr="00AC38FE" w:rsidRDefault="005F5041" w:rsidP="00912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041" w:rsidRPr="00AC38FE" w:rsidRDefault="005F5041" w:rsidP="0091215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AC38FE">
        <w:rPr>
          <w:rFonts w:ascii="Times New Roman" w:hAnsi="Times New Roman"/>
          <w:b/>
          <w:sz w:val="28"/>
          <w:szCs w:val="28"/>
          <w:lang w:val="kk-KZ"/>
        </w:rPr>
        <w:t>Научный руководитель:</w:t>
      </w:r>
    </w:p>
    <w:p w:rsidR="005F5041" w:rsidRPr="00AC38FE" w:rsidRDefault="005F5041" w:rsidP="004D2B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C38FE">
        <w:rPr>
          <w:rFonts w:ascii="Times New Roman" w:hAnsi="Times New Roman"/>
          <w:sz w:val="28"/>
          <w:szCs w:val="28"/>
          <w:lang w:val="kk-KZ"/>
        </w:rPr>
        <w:t>доктор вет</w:t>
      </w:r>
      <w:r w:rsidRPr="00AC38FE">
        <w:rPr>
          <w:rFonts w:ascii="Times New Roman" w:hAnsi="Times New Roman"/>
          <w:sz w:val="28"/>
          <w:szCs w:val="28"/>
        </w:rPr>
        <w:t xml:space="preserve">еринарных наук, профессор, </w:t>
      </w:r>
      <w:r w:rsidRPr="004D2BA5">
        <w:rPr>
          <w:rFonts w:ascii="Times New Roman" w:hAnsi="Times New Roman"/>
          <w:sz w:val="28"/>
          <w:szCs w:val="28"/>
          <w:lang w:val="kk-KZ"/>
        </w:rPr>
        <w:t>Бияшев Кадыр Бияшевич</w:t>
      </w:r>
      <w:r w:rsidRPr="004D2BA5">
        <w:rPr>
          <w:rFonts w:ascii="Times New Roman" w:hAnsi="Times New Roman"/>
          <w:sz w:val="28"/>
          <w:szCs w:val="28"/>
        </w:rPr>
        <w:t xml:space="preserve">. </w:t>
      </w:r>
    </w:p>
    <w:p w:rsidR="005F5041" w:rsidRPr="00AC38FE" w:rsidRDefault="005F5041" w:rsidP="0091215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F5041" w:rsidRPr="00AC38FE" w:rsidRDefault="005F5041" w:rsidP="0091215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5F5041" w:rsidRPr="00AC38FE" w:rsidSect="00B46C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+1+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81A"/>
    <w:rsid w:val="00006029"/>
    <w:rsid w:val="00045567"/>
    <w:rsid w:val="00084739"/>
    <w:rsid w:val="0009469F"/>
    <w:rsid w:val="000B2F29"/>
    <w:rsid w:val="00183781"/>
    <w:rsid w:val="001A637A"/>
    <w:rsid w:val="002616E5"/>
    <w:rsid w:val="00270601"/>
    <w:rsid w:val="002749EC"/>
    <w:rsid w:val="002A1188"/>
    <w:rsid w:val="002E7A70"/>
    <w:rsid w:val="003425B9"/>
    <w:rsid w:val="00387251"/>
    <w:rsid w:val="003A6B72"/>
    <w:rsid w:val="004438F1"/>
    <w:rsid w:val="00470E68"/>
    <w:rsid w:val="004D2BA5"/>
    <w:rsid w:val="00512D49"/>
    <w:rsid w:val="005149A8"/>
    <w:rsid w:val="00574127"/>
    <w:rsid w:val="0059261F"/>
    <w:rsid w:val="00595170"/>
    <w:rsid w:val="005F5041"/>
    <w:rsid w:val="006A67F3"/>
    <w:rsid w:val="006A7C22"/>
    <w:rsid w:val="00716F64"/>
    <w:rsid w:val="00766EB0"/>
    <w:rsid w:val="00813ED4"/>
    <w:rsid w:val="008B0DCD"/>
    <w:rsid w:val="008B7C40"/>
    <w:rsid w:val="008C7BEB"/>
    <w:rsid w:val="0091215F"/>
    <w:rsid w:val="00936D7C"/>
    <w:rsid w:val="00A151B8"/>
    <w:rsid w:val="00A9186A"/>
    <w:rsid w:val="00AC38FE"/>
    <w:rsid w:val="00B46C55"/>
    <w:rsid w:val="00B56F80"/>
    <w:rsid w:val="00BC38E2"/>
    <w:rsid w:val="00BC6FE4"/>
    <w:rsid w:val="00BD02DA"/>
    <w:rsid w:val="00BE3F52"/>
    <w:rsid w:val="00BE7048"/>
    <w:rsid w:val="00C0000D"/>
    <w:rsid w:val="00C308B9"/>
    <w:rsid w:val="00C40CD8"/>
    <w:rsid w:val="00CB3753"/>
    <w:rsid w:val="00D155E8"/>
    <w:rsid w:val="00D15B23"/>
    <w:rsid w:val="00D25175"/>
    <w:rsid w:val="00D25192"/>
    <w:rsid w:val="00D3581A"/>
    <w:rsid w:val="00D61569"/>
    <w:rsid w:val="00DD465A"/>
    <w:rsid w:val="00EA68DF"/>
    <w:rsid w:val="00EB6427"/>
    <w:rsid w:val="00ED03DB"/>
    <w:rsid w:val="00EF1949"/>
    <w:rsid w:val="00F53FA4"/>
    <w:rsid w:val="00F913D0"/>
    <w:rsid w:val="00FF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2DA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B46C5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46C55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/>
      <w:sz w:val="19"/>
      <w:szCs w:val="19"/>
    </w:rPr>
  </w:style>
  <w:style w:type="paragraph" w:styleId="ListParagraph">
    <w:name w:val="List Paragraph"/>
    <w:basedOn w:val="Normal"/>
    <w:uiPriority w:val="99"/>
    <w:qFormat/>
    <w:rsid w:val="00387251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470E68"/>
    <w:rPr>
      <w:rFonts w:ascii="Times New Roman" w:hAnsi="Times New Roman"/>
      <w:sz w:val="22"/>
    </w:rPr>
  </w:style>
  <w:style w:type="paragraph" w:styleId="BodyText">
    <w:name w:val="Body Text"/>
    <w:basedOn w:val="Normal"/>
    <w:link w:val="BodyTextChar"/>
    <w:uiPriority w:val="99"/>
    <w:rsid w:val="0008473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8473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uiPriority w:val="99"/>
    <w:rsid w:val="00084739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+ 9"/>
    <w:aliases w:val="5 pt,Основной текст + Century Gothic,8,Интервал -1 pt,Заголовок №1 + 10,Не полужирный,Подпись к картинке (2) + Impact,7,Курсив Exact,Основной текст (29) + 9"/>
    <w:uiPriority w:val="99"/>
    <w:rsid w:val="00084739"/>
    <w:rPr>
      <w:rFonts w:ascii="Times New Roman" w:hAnsi="Times New Roman"/>
      <w:sz w:val="19"/>
      <w:shd w:val="clear" w:color="auto" w:fill="FFFFFF"/>
    </w:rPr>
  </w:style>
  <w:style w:type="paragraph" w:customStyle="1" w:styleId="Default">
    <w:name w:val="Default"/>
    <w:uiPriority w:val="99"/>
    <w:rsid w:val="005926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en-US"/>
    </w:rPr>
  </w:style>
  <w:style w:type="character" w:styleId="Hyperlink">
    <w:name w:val="Hyperlink"/>
    <w:basedOn w:val="DefaultParagraphFont"/>
    <w:uiPriority w:val="99"/>
    <w:rsid w:val="00B56F80"/>
    <w:rPr>
      <w:rFonts w:cs="Times New Roman"/>
      <w:color w:val="0563C1"/>
      <w:u w:val="single"/>
    </w:rPr>
  </w:style>
  <w:style w:type="character" w:customStyle="1" w:styleId="hps">
    <w:name w:val="hps"/>
    <w:basedOn w:val="DefaultParagraphFont"/>
    <w:uiPriority w:val="99"/>
    <w:rsid w:val="00C0000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000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519</TotalTime>
  <Pages>4</Pages>
  <Words>5663</Words>
  <Characters>3229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</dc:creator>
  <cp:keywords/>
  <dc:description/>
  <cp:lastModifiedBy>Admin</cp:lastModifiedBy>
  <cp:revision>38</cp:revision>
  <dcterms:created xsi:type="dcterms:W3CDTF">2015-09-06T01:50:00Z</dcterms:created>
  <dcterms:modified xsi:type="dcterms:W3CDTF">2016-07-26T11:14:00Z</dcterms:modified>
</cp:coreProperties>
</file>