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6BF" w:rsidRPr="00D40792" w:rsidRDefault="009F06BF" w:rsidP="00F96842">
      <w:pPr>
        <w:autoSpaceDE w:val="0"/>
        <w:autoSpaceDN w:val="0"/>
        <w:adjustRightInd w:val="0"/>
        <w:spacing w:line="360" w:lineRule="auto"/>
        <w:jc w:val="right"/>
        <w:rPr>
          <w:rFonts w:ascii="Times New Roman CYR" w:hAnsi="Times New Roman CYR"/>
          <w:b/>
          <w:sz w:val="28"/>
          <w:szCs w:val="28"/>
        </w:rPr>
      </w:pPr>
      <w:r w:rsidRPr="00D40792">
        <w:rPr>
          <w:rFonts w:ascii="Times New Roman CYR" w:hAnsi="Times New Roman CYR"/>
          <w:b/>
          <w:sz w:val="28"/>
          <w:szCs w:val="28"/>
        </w:rPr>
        <w:t xml:space="preserve">Олег Якименко </w:t>
      </w:r>
    </w:p>
    <w:p w:rsidR="009F06BF" w:rsidRPr="00D40792" w:rsidRDefault="009F06BF" w:rsidP="00F96842">
      <w:pPr>
        <w:autoSpaceDE w:val="0"/>
        <w:autoSpaceDN w:val="0"/>
        <w:adjustRightInd w:val="0"/>
        <w:spacing w:line="360" w:lineRule="auto"/>
        <w:jc w:val="right"/>
        <w:rPr>
          <w:rFonts w:ascii="Times New Roman CYR" w:hAnsi="Times New Roman CYR"/>
          <w:b/>
          <w:sz w:val="28"/>
          <w:szCs w:val="28"/>
          <w:lang w:val="uk-UA"/>
        </w:rPr>
      </w:pPr>
      <w:r w:rsidRPr="00D40792">
        <w:rPr>
          <w:rFonts w:ascii="Times New Roman CYR" w:hAnsi="Times New Roman CYR"/>
          <w:b/>
          <w:sz w:val="28"/>
          <w:szCs w:val="28"/>
          <w:lang w:val="uk-UA"/>
        </w:rPr>
        <w:t>(Харків, Україна)</w:t>
      </w:r>
    </w:p>
    <w:p w:rsidR="009F06BF" w:rsidRPr="00C81E26" w:rsidRDefault="009F06BF" w:rsidP="00C81E26">
      <w:pPr>
        <w:spacing w:line="360" w:lineRule="auto"/>
        <w:rPr>
          <w:b/>
          <w:sz w:val="28"/>
          <w:szCs w:val="28"/>
          <w:lang w:val="uk-UA" w:eastAsia="en-US"/>
        </w:rPr>
      </w:pPr>
    </w:p>
    <w:p w:rsidR="009F06BF" w:rsidRDefault="009F06BF" w:rsidP="00F96842">
      <w:pPr>
        <w:spacing w:line="360" w:lineRule="auto"/>
        <w:jc w:val="center"/>
        <w:rPr>
          <w:b/>
          <w:sz w:val="28"/>
          <w:szCs w:val="28"/>
          <w:lang w:val="uk-UA"/>
        </w:rPr>
      </w:pPr>
      <w:r w:rsidRPr="009E6834">
        <w:rPr>
          <w:b/>
          <w:sz w:val="28"/>
          <w:szCs w:val="28"/>
          <w:lang w:val="uk-UA"/>
        </w:rPr>
        <w:t xml:space="preserve">ФАКТОРИ ВПЛИВУ НА ІННОВАЦІЙНИЙ ПОТЕНЦІАЛ БУДІВЕЛЬНИХ ПІДПРИЄМСТВ  </w:t>
      </w:r>
      <w:r>
        <w:rPr>
          <w:b/>
          <w:sz w:val="28"/>
          <w:szCs w:val="28"/>
          <w:lang w:val="uk-UA"/>
        </w:rPr>
        <w:t>ХАРКІВСЬКОГО РЕГІОНУ</w:t>
      </w:r>
    </w:p>
    <w:p w:rsidR="009F06BF" w:rsidRDefault="009F06BF" w:rsidP="00F96842">
      <w:pPr>
        <w:spacing w:line="360" w:lineRule="auto"/>
        <w:jc w:val="center"/>
        <w:rPr>
          <w:b/>
          <w:sz w:val="28"/>
          <w:szCs w:val="28"/>
          <w:lang w:val="uk-UA"/>
        </w:rPr>
      </w:pPr>
    </w:p>
    <w:p w:rsidR="009F06BF" w:rsidRDefault="009F06BF" w:rsidP="009E6834">
      <w:pPr>
        <w:spacing w:line="360" w:lineRule="auto"/>
        <w:ind w:firstLine="709"/>
        <w:jc w:val="both"/>
        <w:rPr>
          <w:sz w:val="28"/>
          <w:szCs w:val="28"/>
          <w:lang w:val="uk-UA"/>
        </w:rPr>
      </w:pPr>
      <w:r>
        <w:rPr>
          <w:sz w:val="28"/>
          <w:szCs w:val="28"/>
          <w:lang w:val="uk-UA"/>
        </w:rPr>
        <w:t>В</w:t>
      </w:r>
      <w:r w:rsidRPr="005272DD">
        <w:rPr>
          <w:sz w:val="28"/>
          <w:szCs w:val="28"/>
          <w:lang w:val="uk-UA"/>
        </w:rPr>
        <w:t xml:space="preserve"> Україні відбувається формування національних та регіональних інноваційних систем. В епоху «економіки знань» інновації стають основним фактором підвищення ефективності роботи будівельних підприємств. Поряд з цим має місце відставання української будівельної галузі в технологічній сфері, що представляє в даний час загрозу безпеці країни та перспективам її розвитку в майбутньому. Тому потрібно якнайшвидше проведення модернізації виробничих систем практично всіх підприємств і бізнес-груп української будівельної галузі, без якої неможливі їх конкурентоспроможність і стійке функціонування.</w:t>
      </w:r>
    </w:p>
    <w:p w:rsidR="009F06BF" w:rsidRDefault="009F06BF" w:rsidP="009E6834">
      <w:pPr>
        <w:spacing w:line="360" w:lineRule="auto"/>
        <w:ind w:firstLine="709"/>
        <w:jc w:val="both"/>
        <w:rPr>
          <w:sz w:val="28"/>
          <w:szCs w:val="28"/>
          <w:lang w:val="uk-UA"/>
        </w:rPr>
      </w:pPr>
      <w:r w:rsidRPr="005272DD">
        <w:rPr>
          <w:sz w:val="28"/>
          <w:szCs w:val="28"/>
          <w:lang w:val="uk-UA"/>
        </w:rPr>
        <w:t xml:space="preserve">Забезпечення сталого інноваційного розвитку будівельної галузі вимагає не тільки існування масиву досліджень і розробок, підготовлених до використання, але й організаційно-економічного механізму їх прикладного застосування. Для подолання цих проблем необхідно розробити концепцію управління науковим і техніко-технологічним відтворенням, - обґрунтовану систему інтеграції виробничих, інноваційних, дослідницьких організацій та інших учасників ринку, включаючи державу. </w:t>
      </w:r>
      <w:bookmarkStart w:id="0" w:name="_GoBack"/>
      <w:bookmarkEnd w:id="0"/>
    </w:p>
    <w:p w:rsidR="009F06BF" w:rsidRPr="005272DD" w:rsidRDefault="009F06BF" w:rsidP="009E6834">
      <w:pPr>
        <w:spacing w:line="360" w:lineRule="auto"/>
        <w:ind w:firstLine="709"/>
        <w:jc w:val="both"/>
        <w:rPr>
          <w:sz w:val="28"/>
          <w:szCs w:val="28"/>
          <w:lang w:val="uk-UA"/>
        </w:rPr>
      </w:pPr>
      <w:r w:rsidRPr="005272DD">
        <w:rPr>
          <w:sz w:val="28"/>
          <w:szCs w:val="28"/>
          <w:lang w:val="uk-UA"/>
        </w:rPr>
        <w:t>Тож, для ідентифікації та подальшого збалансування інтересів зацікавлених сторін на шляху до розвитку інноваційного потенціалу будівельних підприємств регіонів України нами пропонується використовувати положення теорії стейкхолдерів.</w:t>
      </w:r>
    </w:p>
    <w:p w:rsidR="009F06BF" w:rsidRPr="005272DD" w:rsidRDefault="009F06BF" w:rsidP="009E6834">
      <w:pPr>
        <w:spacing w:line="360" w:lineRule="auto"/>
        <w:ind w:firstLine="709"/>
        <w:jc w:val="both"/>
        <w:rPr>
          <w:sz w:val="28"/>
          <w:szCs w:val="28"/>
          <w:lang w:val="uk-UA"/>
        </w:rPr>
      </w:pPr>
      <w:r>
        <w:rPr>
          <w:sz w:val="28"/>
          <w:szCs w:val="28"/>
          <w:lang w:val="uk-UA"/>
        </w:rPr>
        <w:t>Автором запропоновано</w:t>
      </w:r>
      <w:r w:rsidRPr="005272DD">
        <w:rPr>
          <w:sz w:val="28"/>
          <w:szCs w:val="28"/>
          <w:lang w:val="uk-UA"/>
        </w:rPr>
        <w:t xml:space="preserve"> особливості даної теорії досліджувати в контексті регіонального рівня управління, зокрема використовувати основні її постулати для вирішення проблем ефективного нарощення та розвитку інноваційного потенціалу будівельних підприємств в галузевому і територіальному аспектах.</w:t>
      </w:r>
    </w:p>
    <w:p w:rsidR="009F06BF" w:rsidRPr="003936C4" w:rsidRDefault="009F06BF" w:rsidP="009E6834">
      <w:pPr>
        <w:spacing w:line="360" w:lineRule="auto"/>
        <w:ind w:firstLine="709"/>
        <w:jc w:val="both"/>
        <w:rPr>
          <w:sz w:val="28"/>
          <w:szCs w:val="28"/>
          <w:lang w:val="uk-UA"/>
        </w:rPr>
      </w:pPr>
      <w:r w:rsidRPr="003936C4">
        <w:rPr>
          <w:sz w:val="28"/>
          <w:szCs w:val="28"/>
          <w:lang w:val="uk-UA"/>
        </w:rPr>
        <w:t>Методичний підхід до оцінки впливу зовнішніх факторів на інноваційний потенціал будівельних підприємств регіонів України, який на відміну від існуючих враховує різноспрямовані інтереси груп зацікавлених сторін, базується на методі оцінки багатокутників та теорії стейкхолдерів, дозволяє побудувати радар впливу стейкхолдерів на інноваційний потенціал будівельних підприємств регіонів України та визначити узагальнену величину їх впливу.</w:t>
      </w:r>
    </w:p>
    <w:p w:rsidR="009F06BF" w:rsidRPr="00C0018E" w:rsidRDefault="009F06BF" w:rsidP="009E6834">
      <w:pPr>
        <w:spacing w:line="360" w:lineRule="auto"/>
        <w:ind w:firstLine="709"/>
        <w:jc w:val="both"/>
        <w:rPr>
          <w:sz w:val="28"/>
          <w:szCs w:val="28"/>
          <w:lang w:val="uk-UA"/>
        </w:rPr>
      </w:pPr>
      <w:r w:rsidRPr="00C0018E">
        <w:rPr>
          <w:sz w:val="28"/>
          <w:szCs w:val="28"/>
          <w:lang w:val="uk-UA"/>
        </w:rPr>
        <w:t>Для ідентифікації основних моментів теорії зацікавлених сторін в рамках дослідження впливу стейкхолдерів на інноваційний потенціал будівельних підприємств регіонів України, необхідно здійснити наступні блоки досліджень:</w:t>
      </w:r>
    </w:p>
    <w:p w:rsidR="009F06BF" w:rsidRPr="005272DD" w:rsidRDefault="009F06BF" w:rsidP="009E6834">
      <w:pPr>
        <w:spacing w:line="360" w:lineRule="auto"/>
        <w:ind w:firstLine="709"/>
        <w:jc w:val="both"/>
        <w:rPr>
          <w:sz w:val="28"/>
          <w:szCs w:val="28"/>
          <w:lang w:val="uk-UA"/>
        </w:rPr>
      </w:pPr>
      <w:r w:rsidRPr="005272DD">
        <w:rPr>
          <w:b/>
          <w:sz w:val="28"/>
          <w:szCs w:val="28"/>
          <w:lang w:val="uk-UA"/>
        </w:rPr>
        <w:t>1.</w:t>
      </w:r>
      <w:r w:rsidRPr="005272DD">
        <w:rPr>
          <w:sz w:val="28"/>
          <w:szCs w:val="28"/>
          <w:lang w:val="uk-UA"/>
        </w:rPr>
        <w:t xml:space="preserve"> Визначення осіб, груп, організації, інститутів, які зацікавлені, та на яких впливатиме зміна величини інноваційного потенціалу будівельних підприємств регіонів України.</w:t>
      </w:r>
    </w:p>
    <w:p w:rsidR="009F06BF" w:rsidRPr="005272DD" w:rsidRDefault="009F06BF" w:rsidP="009E6834">
      <w:pPr>
        <w:spacing w:line="360" w:lineRule="auto"/>
        <w:ind w:firstLine="709"/>
        <w:jc w:val="both"/>
        <w:rPr>
          <w:sz w:val="28"/>
          <w:szCs w:val="28"/>
          <w:lang w:val="uk-UA"/>
        </w:rPr>
      </w:pPr>
      <w:r w:rsidRPr="005272DD">
        <w:rPr>
          <w:b/>
          <w:sz w:val="28"/>
          <w:szCs w:val="28"/>
          <w:lang w:val="uk-UA"/>
        </w:rPr>
        <w:t>2.</w:t>
      </w:r>
      <w:r w:rsidRPr="005272DD">
        <w:rPr>
          <w:sz w:val="28"/>
          <w:szCs w:val="28"/>
          <w:lang w:val="uk-UA"/>
        </w:rPr>
        <w:t xml:space="preserve"> Ідентифікація специфічних інтересів, які може мати кожна група стейкхолдерів. Варто врахувати такі питання: вигода для стейкхолдерів, переміни, які має відчути стейкхолдер у зв’язку зі зміною величини інноваційного потенціалу будівельних підприємств регіонів України, питання, що можуть завдати шкоди стейкхолдерам чи спричинити конфлікт із галуззю.</w:t>
      </w:r>
    </w:p>
    <w:p w:rsidR="009F06BF" w:rsidRPr="005272DD" w:rsidRDefault="009F06BF" w:rsidP="009E6834">
      <w:pPr>
        <w:spacing w:line="360" w:lineRule="auto"/>
        <w:ind w:firstLine="709"/>
        <w:jc w:val="both"/>
        <w:rPr>
          <w:sz w:val="28"/>
          <w:szCs w:val="28"/>
          <w:lang w:val="uk-UA"/>
        </w:rPr>
      </w:pPr>
      <w:r w:rsidRPr="005272DD">
        <w:rPr>
          <w:b/>
          <w:sz w:val="28"/>
          <w:szCs w:val="28"/>
          <w:lang w:val="uk-UA"/>
        </w:rPr>
        <w:t>3.</w:t>
      </w:r>
      <w:r w:rsidRPr="005272DD">
        <w:rPr>
          <w:sz w:val="28"/>
          <w:szCs w:val="28"/>
          <w:lang w:val="uk-UA"/>
        </w:rPr>
        <w:t xml:space="preserve"> Визначення впливу стейкхолдерів на інноваційний потенціал будівельних підприємств регіонів України, наскільки важливі інтереси стейкхолдерів для успішного інноваційного потенціалу будівельних підприємств регіонів України.</w:t>
      </w:r>
    </w:p>
    <w:p w:rsidR="009F06BF" w:rsidRPr="005272DD" w:rsidRDefault="009F06BF" w:rsidP="009E6834">
      <w:pPr>
        <w:spacing w:line="360" w:lineRule="auto"/>
        <w:ind w:firstLine="709"/>
        <w:jc w:val="both"/>
        <w:rPr>
          <w:sz w:val="28"/>
          <w:szCs w:val="28"/>
          <w:lang w:val="uk-UA"/>
        </w:rPr>
      </w:pPr>
      <w:r w:rsidRPr="005272DD">
        <w:rPr>
          <w:b/>
          <w:sz w:val="28"/>
          <w:szCs w:val="28"/>
          <w:lang w:val="uk-UA"/>
        </w:rPr>
        <w:t>3.1.</w:t>
      </w:r>
      <w:r w:rsidRPr="005272DD">
        <w:rPr>
          <w:sz w:val="28"/>
          <w:szCs w:val="28"/>
          <w:lang w:val="uk-UA"/>
        </w:rPr>
        <w:t xml:space="preserve"> Відбір показників, які характеризують вплив стейкхолдерів на інноваційний потенціал забезпечення будівельних підприємств регіонів України;</w:t>
      </w:r>
    </w:p>
    <w:p w:rsidR="009F06BF" w:rsidRPr="005272DD" w:rsidRDefault="009F06BF" w:rsidP="009E6834">
      <w:pPr>
        <w:spacing w:line="360" w:lineRule="auto"/>
        <w:ind w:firstLine="709"/>
        <w:jc w:val="both"/>
        <w:rPr>
          <w:sz w:val="28"/>
          <w:szCs w:val="28"/>
          <w:lang w:val="uk-UA"/>
        </w:rPr>
      </w:pPr>
      <w:r w:rsidRPr="005272DD">
        <w:rPr>
          <w:sz w:val="28"/>
          <w:szCs w:val="28"/>
          <w:lang w:val="uk-UA"/>
        </w:rPr>
        <w:t>На нашу думку до переліку показників, які характеризують вплив стейкхолдерів групи «інвестори» на інноваційний потенціал будівельних підприємств регіонів України відносяться наступні:</w:t>
      </w:r>
    </w:p>
    <w:p w:rsidR="009F06BF" w:rsidRPr="005272DD" w:rsidRDefault="009F06BF" w:rsidP="009E6834">
      <w:pPr>
        <w:numPr>
          <w:ilvl w:val="0"/>
          <w:numId w:val="2"/>
        </w:numPr>
        <w:spacing w:line="360" w:lineRule="auto"/>
        <w:ind w:left="0" w:firstLine="709"/>
        <w:jc w:val="both"/>
        <w:rPr>
          <w:bCs/>
          <w:sz w:val="28"/>
          <w:szCs w:val="28"/>
          <w:lang w:val="uk-UA"/>
        </w:rPr>
      </w:pPr>
      <w:r w:rsidRPr="005272DD">
        <w:rPr>
          <w:bCs/>
          <w:sz w:val="28"/>
          <w:szCs w:val="28"/>
          <w:lang w:val="uk-UA"/>
        </w:rPr>
        <w:t>Обсяг фінансування витрат на виконання наукових та науково-технічних робіт у галузі будівництво та архітектура за рахунок коштів замовників підприємств, організацій України, тис. грн.</w:t>
      </w:r>
    </w:p>
    <w:p w:rsidR="009F06BF" w:rsidRPr="005272DD" w:rsidRDefault="009F06BF" w:rsidP="009E6834">
      <w:pPr>
        <w:numPr>
          <w:ilvl w:val="0"/>
          <w:numId w:val="2"/>
        </w:numPr>
        <w:spacing w:line="360" w:lineRule="auto"/>
        <w:ind w:left="0" w:firstLine="709"/>
        <w:jc w:val="both"/>
        <w:rPr>
          <w:bCs/>
          <w:sz w:val="28"/>
          <w:szCs w:val="28"/>
          <w:lang w:val="uk-UA"/>
        </w:rPr>
      </w:pPr>
      <w:r w:rsidRPr="005272DD">
        <w:rPr>
          <w:bCs/>
          <w:sz w:val="28"/>
          <w:szCs w:val="28"/>
          <w:lang w:val="uk-UA"/>
        </w:rPr>
        <w:t>Обсяг фінансування витрат на виконання наукових та науково-технічних робіт у галузі будівництво та архітектура за рахунок коштів іноземних держав, тис. грн.</w:t>
      </w:r>
    </w:p>
    <w:p w:rsidR="009F06BF" w:rsidRPr="005272DD" w:rsidRDefault="009F06BF" w:rsidP="009E6834">
      <w:pPr>
        <w:numPr>
          <w:ilvl w:val="0"/>
          <w:numId w:val="2"/>
        </w:numPr>
        <w:spacing w:line="360" w:lineRule="auto"/>
        <w:ind w:left="0" w:firstLine="709"/>
        <w:jc w:val="both"/>
        <w:rPr>
          <w:bCs/>
          <w:sz w:val="28"/>
          <w:szCs w:val="28"/>
          <w:lang w:val="uk-UA"/>
        </w:rPr>
      </w:pPr>
      <w:r w:rsidRPr="005272DD">
        <w:rPr>
          <w:bCs/>
          <w:sz w:val="28"/>
          <w:szCs w:val="28"/>
          <w:lang w:val="uk-UA"/>
        </w:rPr>
        <w:t>Обсяг капітальних вкладень для виконання наукових та науково-технічних робіт інвесторів у галузі будівництво та архітектура, тис. грн.</w:t>
      </w:r>
    </w:p>
    <w:p w:rsidR="009F06BF" w:rsidRPr="005272DD" w:rsidRDefault="009F06BF" w:rsidP="009E6834">
      <w:pPr>
        <w:spacing w:line="360" w:lineRule="auto"/>
        <w:ind w:firstLine="709"/>
        <w:jc w:val="both"/>
        <w:rPr>
          <w:sz w:val="28"/>
          <w:szCs w:val="28"/>
          <w:lang w:val="uk-UA"/>
        </w:rPr>
      </w:pPr>
      <w:r w:rsidRPr="005272DD">
        <w:rPr>
          <w:sz w:val="28"/>
          <w:szCs w:val="28"/>
          <w:lang w:val="uk-UA"/>
        </w:rPr>
        <w:t>До переліку показників, які характеризують вплив стейкхолдерів групи «працівники» на інноваційний потенціал будівельних підприємств регіонів України відносяться наступні:</w:t>
      </w:r>
    </w:p>
    <w:p w:rsidR="009F06BF" w:rsidRPr="005272DD" w:rsidRDefault="009F06BF" w:rsidP="009E6834">
      <w:pPr>
        <w:numPr>
          <w:ilvl w:val="0"/>
          <w:numId w:val="3"/>
        </w:numPr>
        <w:spacing w:line="360" w:lineRule="auto"/>
        <w:ind w:left="0" w:firstLine="709"/>
        <w:jc w:val="both"/>
        <w:rPr>
          <w:bCs/>
          <w:sz w:val="28"/>
          <w:szCs w:val="28"/>
          <w:lang w:val="uk-UA"/>
        </w:rPr>
      </w:pPr>
      <w:r w:rsidRPr="005272DD">
        <w:rPr>
          <w:bCs/>
          <w:sz w:val="28"/>
          <w:szCs w:val="28"/>
          <w:lang w:val="uk-UA"/>
        </w:rPr>
        <w:t>Витрати на оплату праці при виконанні наукових та науково-технічних робіт у сфері будівництво та архітектура, тис.грн.</w:t>
      </w:r>
    </w:p>
    <w:p w:rsidR="009F06BF" w:rsidRPr="005272DD" w:rsidRDefault="009F06BF" w:rsidP="009E6834">
      <w:pPr>
        <w:numPr>
          <w:ilvl w:val="0"/>
          <w:numId w:val="3"/>
        </w:numPr>
        <w:spacing w:line="360" w:lineRule="auto"/>
        <w:ind w:left="0" w:firstLine="709"/>
        <w:jc w:val="both"/>
        <w:rPr>
          <w:bCs/>
          <w:sz w:val="28"/>
          <w:szCs w:val="28"/>
          <w:lang w:val="uk-UA"/>
        </w:rPr>
      </w:pPr>
      <w:r w:rsidRPr="005272DD">
        <w:rPr>
          <w:bCs/>
          <w:sz w:val="28"/>
          <w:szCs w:val="28"/>
          <w:lang w:val="uk-UA"/>
        </w:rPr>
        <w:t>Кількість працівників – дослідників наукових організацій у галузі – будівництво та архітектура, осіб.</w:t>
      </w:r>
    </w:p>
    <w:p w:rsidR="009F06BF" w:rsidRPr="005272DD" w:rsidRDefault="009F06BF" w:rsidP="009E6834">
      <w:pPr>
        <w:numPr>
          <w:ilvl w:val="0"/>
          <w:numId w:val="3"/>
        </w:numPr>
        <w:spacing w:line="360" w:lineRule="auto"/>
        <w:ind w:left="0" w:firstLine="709"/>
        <w:jc w:val="both"/>
        <w:rPr>
          <w:bCs/>
          <w:sz w:val="28"/>
          <w:szCs w:val="28"/>
          <w:lang w:val="uk-UA"/>
        </w:rPr>
      </w:pPr>
      <w:r w:rsidRPr="005272DD">
        <w:rPr>
          <w:bCs/>
          <w:sz w:val="28"/>
          <w:szCs w:val="28"/>
          <w:lang w:val="uk-UA"/>
        </w:rPr>
        <w:t>Кількість працівників – техніків наукових організацій у галузі – будівництво та архітектура, осіб.</w:t>
      </w:r>
    </w:p>
    <w:p w:rsidR="009F06BF" w:rsidRPr="005272DD" w:rsidRDefault="009F06BF" w:rsidP="009E6834">
      <w:pPr>
        <w:numPr>
          <w:ilvl w:val="0"/>
          <w:numId w:val="3"/>
        </w:numPr>
        <w:spacing w:line="360" w:lineRule="auto"/>
        <w:ind w:left="0" w:firstLine="709"/>
        <w:jc w:val="both"/>
        <w:rPr>
          <w:bCs/>
          <w:sz w:val="28"/>
          <w:szCs w:val="28"/>
          <w:lang w:val="uk-UA"/>
        </w:rPr>
      </w:pPr>
      <w:r w:rsidRPr="005272DD">
        <w:rPr>
          <w:bCs/>
          <w:sz w:val="28"/>
          <w:szCs w:val="28"/>
          <w:lang w:val="uk-UA"/>
        </w:rPr>
        <w:t>Кількість працівників – допоміжного персоналу наукових організацій у галузі – будівництво та архітектура, осіб.</w:t>
      </w:r>
    </w:p>
    <w:p w:rsidR="009F06BF" w:rsidRPr="005272DD" w:rsidRDefault="009F06BF" w:rsidP="009E6834">
      <w:pPr>
        <w:numPr>
          <w:ilvl w:val="0"/>
          <w:numId w:val="3"/>
        </w:numPr>
        <w:spacing w:line="360" w:lineRule="auto"/>
        <w:ind w:left="0" w:firstLine="709"/>
        <w:jc w:val="both"/>
        <w:rPr>
          <w:bCs/>
          <w:sz w:val="28"/>
          <w:szCs w:val="28"/>
          <w:lang w:val="uk-UA"/>
        </w:rPr>
      </w:pPr>
      <w:r w:rsidRPr="005272DD">
        <w:rPr>
          <w:bCs/>
          <w:sz w:val="28"/>
          <w:szCs w:val="28"/>
          <w:lang w:val="uk-UA"/>
        </w:rPr>
        <w:t>Середньомісячна заробітна плата, нарахована в розрахунку на одного штатного працівника у професійній, науковій та технічній діяльності, грн.</w:t>
      </w:r>
    </w:p>
    <w:p w:rsidR="009F06BF" w:rsidRPr="005272DD" w:rsidRDefault="009F06BF" w:rsidP="009E6834">
      <w:pPr>
        <w:spacing w:line="360" w:lineRule="auto"/>
        <w:ind w:firstLine="709"/>
        <w:jc w:val="both"/>
        <w:rPr>
          <w:sz w:val="28"/>
          <w:szCs w:val="28"/>
          <w:lang w:val="uk-UA"/>
        </w:rPr>
      </w:pPr>
      <w:r w:rsidRPr="005272DD">
        <w:rPr>
          <w:sz w:val="28"/>
          <w:szCs w:val="28"/>
          <w:lang w:val="uk-UA"/>
        </w:rPr>
        <w:t>До переліку показників, які характеризують вплив стейкхолдерів групи «споживачі» на інноваційний потенціал будівельних підприємств регіонів України відносяться наступні:</w:t>
      </w:r>
    </w:p>
    <w:p w:rsidR="009F06BF" w:rsidRPr="005272DD" w:rsidRDefault="009F06BF" w:rsidP="009E6834">
      <w:pPr>
        <w:numPr>
          <w:ilvl w:val="0"/>
          <w:numId w:val="4"/>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з найбільш важливими джерелами інформації для інноваційної діяльності отриманими від клієнтів, покупців, од.</w:t>
      </w:r>
    </w:p>
    <w:p w:rsidR="009F06BF" w:rsidRPr="005272DD" w:rsidRDefault="009F06BF" w:rsidP="009E6834">
      <w:pPr>
        <w:numPr>
          <w:ilvl w:val="0"/>
          <w:numId w:val="4"/>
        </w:numPr>
        <w:spacing w:line="360" w:lineRule="auto"/>
        <w:ind w:left="0" w:firstLine="709"/>
        <w:jc w:val="both"/>
        <w:rPr>
          <w:bCs/>
          <w:sz w:val="28"/>
          <w:szCs w:val="28"/>
          <w:lang w:val="uk-UA"/>
        </w:rPr>
      </w:pPr>
      <w:r w:rsidRPr="005272DD">
        <w:rPr>
          <w:bCs/>
          <w:sz w:val="28"/>
          <w:szCs w:val="28"/>
          <w:lang w:val="uk-UA"/>
        </w:rPr>
        <w:t>Обсяг реалізованої продукції інноваційно-активними будівельними підприємствами, тис.грн.</w:t>
      </w:r>
    </w:p>
    <w:p w:rsidR="009F06BF" w:rsidRPr="005272DD" w:rsidRDefault="009F06BF" w:rsidP="009E6834">
      <w:pPr>
        <w:numPr>
          <w:ilvl w:val="0"/>
          <w:numId w:val="4"/>
        </w:numPr>
        <w:spacing w:line="360" w:lineRule="auto"/>
        <w:ind w:left="0" w:firstLine="709"/>
        <w:jc w:val="both"/>
        <w:rPr>
          <w:bCs/>
          <w:sz w:val="28"/>
          <w:szCs w:val="28"/>
          <w:lang w:val="uk-UA"/>
        </w:rPr>
      </w:pPr>
      <w:r w:rsidRPr="005272DD">
        <w:rPr>
          <w:bCs/>
          <w:sz w:val="28"/>
          <w:szCs w:val="28"/>
          <w:lang w:val="uk-UA"/>
        </w:rPr>
        <w:t>Кількість виконаних наукових та науково-технічних робіт у галузі будівництво та архітектура, од.</w:t>
      </w:r>
    </w:p>
    <w:p w:rsidR="009F06BF" w:rsidRPr="005272DD" w:rsidRDefault="009F06BF" w:rsidP="009E6834">
      <w:pPr>
        <w:spacing w:line="360" w:lineRule="auto"/>
        <w:ind w:firstLine="709"/>
        <w:jc w:val="both"/>
        <w:rPr>
          <w:bCs/>
          <w:sz w:val="28"/>
          <w:szCs w:val="28"/>
          <w:lang w:val="uk-UA"/>
        </w:rPr>
      </w:pPr>
      <w:r w:rsidRPr="005272DD">
        <w:rPr>
          <w:sz w:val="28"/>
          <w:szCs w:val="28"/>
          <w:lang w:val="uk-UA"/>
        </w:rPr>
        <w:t>До переліку показників, які характеризують вплив стейкхолдерів групи «органи державної та місцевої влади» на інноваційний потенціал будівельних підприємств регіонів України відносяться наступні:</w:t>
      </w:r>
    </w:p>
    <w:p w:rsidR="009F06BF" w:rsidRPr="005272DD" w:rsidRDefault="009F06BF" w:rsidP="009E6834">
      <w:pPr>
        <w:numPr>
          <w:ilvl w:val="0"/>
          <w:numId w:val="5"/>
        </w:numPr>
        <w:spacing w:line="360" w:lineRule="auto"/>
        <w:ind w:left="0" w:firstLine="709"/>
        <w:jc w:val="both"/>
        <w:rPr>
          <w:bCs/>
          <w:sz w:val="28"/>
          <w:szCs w:val="28"/>
          <w:lang w:val="uk-UA"/>
        </w:rPr>
      </w:pPr>
      <w:r w:rsidRPr="005272DD">
        <w:rPr>
          <w:bCs/>
          <w:sz w:val="28"/>
          <w:szCs w:val="28"/>
          <w:lang w:val="uk-UA"/>
        </w:rPr>
        <w:t>Обсяг фінансування витрат на виконання наукових та науково-технічних робіт у галузі будівництво та архітектура за рахунок коштів місцевого бюджету, тис. грн.</w:t>
      </w:r>
    </w:p>
    <w:p w:rsidR="009F06BF" w:rsidRPr="005272DD" w:rsidRDefault="009F06BF" w:rsidP="009E6834">
      <w:pPr>
        <w:numPr>
          <w:ilvl w:val="0"/>
          <w:numId w:val="5"/>
        </w:numPr>
        <w:spacing w:line="360" w:lineRule="auto"/>
        <w:ind w:left="0" w:firstLine="709"/>
        <w:jc w:val="both"/>
        <w:rPr>
          <w:bCs/>
          <w:sz w:val="28"/>
          <w:szCs w:val="28"/>
          <w:lang w:val="uk-UA"/>
        </w:rPr>
      </w:pPr>
      <w:r w:rsidRPr="005272DD">
        <w:rPr>
          <w:bCs/>
          <w:sz w:val="28"/>
          <w:szCs w:val="28"/>
          <w:lang w:val="uk-UA"/>
        </w:rPr>
        <w:t>Обсяг фінансування витрат на виконання наукових та науково-технічних робіт у галузі будівництво та архітектура за рахунок коштів держбюджету, тис. грн.</w:t>
      </w:r>
    </w:p>
    <w:p w:rsidR="009F06BF" w:rsidRPr="005272DD" w:rsidRDefault="009F06BF" w:rsidP="009E6834">
      <w:pPr>
        <w:numPr>
          <w:ilvl w:val="0"/>
          <w:numId w:val="5"/>
        </w:numPr>
        <w:spacing w:line="360" w:lineRule="auto"/>
        <w:ind w:left="0" w:firstLine="709"/>
        <w:jc w:val="both"/>
        <w:rPr>
          <w:bCs/>
          <w:sz w:val="28"/>
          <w:szCs w:val="28"/>
          <w:lang w:val="uk-UA"/>
        </w:rPr>
      </w:pPr>
      <w:r w:rsidRPr="005272DD">
        <w:rPr>
          <w:bCs/>
          <w:sz w:val="28"/>
          <w:szCs w:val="28"/>
          <w:lang w:val="uk-UA"/>
        </w:rPr>
        <w:t>Обсяг фінансування витрат на виконання наукових та науково-технічних робіт у галузі будівництво та архітектура за рахунок коштів фондів спеціального призначення, тис. грн.</w:t>
      </w:r>
    </w:p>
    <w:p w:rsidR="009F06BF" w:rsidRPr="005272DD" w:rsidRDefault="009F06BF" w:rsidP="009E6834">
      <w:pPr>
        <w:numPr>
          <w:ilvl w:val="0"/>
          <w:numId w:val="5"/>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з найбільш важливими джерелами інформації для інноваційної діяльності отриманими від Університетів та інших вищих навчальних закладів, од.</w:t>
      </w:r>
    </w:p>
    <w:p w:rsidR="009F06BF" w:rsidRPr="005272DD" w:rsidRDefault="009F06BF" w:rsidP="009E6834">
      <w:pPr>
        <w:numPr>
          <w:ilvl w:val="0"/>
          <w:numId w:val="5"/>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з найбільш важливими джерелами інформації для інноваційної діяльності отриманими від державних НДІ, од.</w:t>
      </w:r>
    </w:p>
    <w:p w:rsidR="009F06BF" w:rsidRPr="005272DD" w:rsidRDefault="009F06BF" w:rsidP="009E6834">
      <w:pPr>
        <w:numPr>
          <w:ilvl w:val="0"/>
          <w:numId w:val="5"/>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які отримували державну фінансову допомогу для інноваційної діяльності від центрального уряду, од.</w:t>
      </w:r>
    </w:p>
    <w:p w:rsidR="009F06BF" w:rsidRPr="005272DD" w:rsidRDefault="009F06BF" w:rsidP="009E6834">
      <w:pPr>
        <w:numPr>
          <w:ilvl w:val="0"/>
          <w:numId w:val="5"/>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які отримували державну фінансову допомогу для інноваційної діяльності від місцевих та регіональних органів влади, од.</w:t>
      </w:r>
    </w:p>
    <w:p w:rsidR="009F06BF" w:rsidRPr="005272DD" w:rsidRDefault="009F06BF" w:rsidP="009E6834">
      <w:pPr>
        <w:spacing w:line="360" w:lineRule="auto"/>
        <w:ind w:firstLine="709"/>
        <w:jc w:val="both"/>
        <w:rPr>
          <w:sz w:val="28"/>
          <w:szCs w:val="28"/>
          <w:lang w:val="uk-UA"/>
        </w:rPr>
      </w:pPr>
      <w:r w:rsidRPr="005272DD">
        <w:rPr>
          <w:sz w:val="28"/>
          <w:szCs w:val="28"/>
          <w:lang w:val="uk-UA"/>
        </w:rPr>
        <w:t>До переліку показників, які характеризують вплив стейкхолдерів групи «постачальники» на інноваційний потенціал будівельних підприємств регіонів України відносяться наступні:</w:t>
      </w:r>
    </w:p>
    <w:p w:rsidR="009F06BF" w:rsidRPr="005272DD" w:rsidRDefault="009F06BF" w:rsidP="009E6834">
      <w:pPr>
        <w:numPr>
          <w:ilvl w:val="0"/>
          <w:numId w:val="6"/>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з найбільш важливими джерелами інформації для інноваційної діяльності отриманими від постачальників обладнання, матеріалів, компонентів, програмного забезпечення, од.</w:t>
      </w:r>
    </w:p>
    <w:p w:rsidR="009F06BF" w:rsidRPr="005272DD" w:rsidRDefault="009F06BF" w:rsidP="009E6834">
      <w:pPr>
        <w:numPr>
          <w:ilvl w:val="0"/>
          <w:numId w:val="6"/>
        </w:numPr>
        <w:spacing w:line="360" w:lineRule="auto"/>
        <w:ind w:left="0" w:firstLine="709"/>
        <w:jc w:val="both"/>
        <w:rPr>
          <w:bCs/>
          <w:sz w:val="28"/>
          <w:szCs w:val="28"/>
          <w:lang w:val="uk-UA"/>
        </w:rPr>
      </w:pPr>
      <w:r w:rsidRPr="005272DD">
        <w:rPr>
          <w:bCs/>
          <w:sz w:val="28"/>
          <w:szCs w:val="28"/>
          <w:lang w:val="uk-UA"/>
        </w:rPr>
        <w:t>Матеріальні витрати при виконанні наукових та науково-технічних робіт у сфері будівництво та архітектура, тис.грн.</w:t>
      </w:r>
    </w:p>
    <w:p w:rsidR="009F06BF" w:rsidRPr="005272DD" w:rsidRDefault="009F06BF" w:rsidP="009E6834">
      <w:pPr>
        <w:numPr>
          <w:ilvl w:val="0"/>
          <w:numId w:val="6"/>
        </w:numPr>
        <w:spacing w:line="360" w:lineRule="auto"/>
        <w:ind w:left="0" w:firstLine="709"/>
        <w:jc w:val="both"/>
        <w:rPr>
          <w:bCs/>
          <w:sz w:val="28"/>
          <w:szCs w:val="28"/>
          <w:lang w:val="uk-UA"/>
        </w:rPr>
      </w:pPr>
      <w:r w:rsidRPr="005272DD">
        <w:rPr>
          <w:bCs/>
          <w:sz w:val="28"/>
          <w:szCs w:val="28"/>
          <w:lang w:val="uk-UA"/>
        </w:rPr>
        <w:t>Витрати на устаткування при виконанні наукових та науково-технічних робіт у сфері будівництво та архітектура, тис.грн.</w:t>
      </w:r>
    </w:p>
    <w:p w:rsidR="009F06BF" w:rsidRPr="005272DD" w:rsidRDefault="009F06BF" w:rsidP="009E6834">
      <w:pPr>
        <w:spacing w:line="360" w:lineRule="auto"/>
        <w:ind w:firstLine="709"/>
        <w:jc w:val="both"/>
        <w:rPr>
          <w:sz w:val="28"/>
          <w:szCs w:val="28"/>
          <w:lang w:val="uk-UA"/>
        </w:rPr>
      </w:pPr>
      <w:r w:rsidRPr="005272DD">
        <w:rPr>
          <w:sz w:val="28"/>
          <w:szCs w:val="28"/>
          <w:lang w:val="uk-UA"/>
        </w:rPr>
        <w:t>До переліку показників, які характеризують вплив стейкхолдерів групи «партнери» на інноваційний потенціал будівельних підприємств регіонів України відносяться наступні:</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з найбільш важливими джерелами інформації для інноваційної діяльності отриманими від консультантів, комерційних лабораторій, приватних НДІ, од.</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з найбільш важливими джерелами інформації для інноваційної діяльності отриманими на конференціях, торгових ярмарках, виставках, од.</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з найбільш важливими джерелами інформації для інноваційної діяльності отриманими з наукових журналів та торгових/технічних публікацій, од.</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з найбільш важливими джерелами інформації для інноваційної діяльності отриманими від професійних та промислових асоціацій, од.</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Витрати на дослідження і розробки, виконані співвиконавцями при виконанні наукових та науково-технічних робіт у сфері будівництво та архітектура, тис.грн.</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що мали партнера з інноваційної співпраці в Україні, од.</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що мали партнера з інноваційної співпраці в Країнах Європи, од.</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що мали партнера з інноваційної співпраці в США, од.</w:t>
      </w:r>
    </w:p>
    <w:p w:rsidR="009F06BF" w:rsidRPr="005272DD" w:rsidRDefault="009F06BF" w:rsidP="009E6834">
      <w:pPr>
        <w:numPr>
          <w:ilvl w:val="0"/>
          <w:numId w:val="7"/>
        </w:numPr>
        <w:spacing w:line="360" w:lineRule="auto"/>
        <w:ind w:left="0" w:firstLine="709"/>
        <w:jc w:val="both"/>
        <w:rPr>
          <w:bCs/>
          <w:sz w:val="28"/>
          <w:szCs w:val="28"/>
          <w:lang w:val="uk-UA"/>
        </w:rPr>
      </w:pPr>
      <w:r w:rsidRPr="005272DD">
        <w:rPr>
          <w:bCs/>
          <w:sz w:val="28"/>
          <w:szCs w:val="28"/>
          <w:lang w:val="uk-UA"/>
        </w:rPr>
        <w:t>Кількість будівельних підприємств з технологічними інноваціями, що мали партнера з інноваційної співпраці в Китаї та Індії, од.</w:t>
      </w:r>
    </w:p>
    <w:p w:rsidR="009F06BF" w:rsidRDefault="009F06BF" w:rsidP="009E6834">
      <w:pPr>
        <w:spacing w:line="360" w:lineRule="auto"/>
        <w:ind w:firstLine="709"/>
        <w:jc w:val="both"/>
        <w:rPr>
          <w:sz w:val="28"/>
          <w:szCs w:val="28"/>
          <w:lang w:val="uk-UA"/>
        </w:rPr>
      </w:pPr>
      <w:r w:rsidRPr="005272DD">
        <w:rPr>
          <w:b/>
          <w:sz w:val="28"/>
          <w:szCs w:val="28"/>
          <w:lang w:val="uk-UA"/>
        </w:rPr>
        <w:t>3.2.</w:t>
      </w:r>
      <w:r>
        <w:rPr>
          <w:sz w:val="28"/>
          <w:szCs w:val="28"/>
          <w:lang w:val="uk-UA"/>
        </w:rPr>
        <w:t>Було здійснено з</w:t>
      </w:r>
      <w:r w:rsidRPr="005272DD">
        <w:rPr>
          <w:sz w:val="28"/>
          <w:szCs w:val="28"/>
          <w:lang w:val="uk-UA"/>
        </w:rPr>
        <w:t>бір статистичної інформації за низку років щодо показників, які характеризують вплив стейкхолдерів на інноваційний потенціал будівельних підприємств регіонів України (вищезазначені показники для Харківської області за 2008-2013 рр.</w:t>
      </w:r>
      <w:r>
        <w:rPr>
          <w:sz w:val="28"/>
          <w:szCs w:val="28"/>
          <w:lang w:val="uk-UA"/>
        </w:rPr>
        <w:t>).</w:t>
      </w:r>
    </w:p>
    <w:p w:rsidR="009F06BF" w:rsidRPr="005272DD" w:rsidRDefault="009F06BF" w:rsidP="009E6834">
      <w:pPr>
        <w:spacing w:line="360" w:lineRule="auto"/>
        <w:ind w:firstLine="709"/>
        <w:jc w:val="both"/>
        <w:rPr>
          <w:sz w:val="28"/>
          <w:szCs w:val="28"/>
          <w:lang w:val="uk-UA"/>
        </w:rPr>
      </w:pPr>
      <w:r w:rsidRPr="005272DD">
        <w:rPr>
          <w:b/>
          <w:sz w:val="28"/>
          <w:szCs w:val="28"/>
          <w:lang w:val="uk-UA"/>
        </w:rPr>
        <w:t>3.3.</w:t>
      </w:r>
      <w:r w:rsidRPr="005272DD">
        <w:rPr>
          <w:sz w:val="28"/>
          <w:szCs w:val="28"/>
          <w:lang w:val="uk-UA"/>
        </w:rPr>
        <w:t xml:space="preserve"> Розрахунок динаміки показників, які характеризують вплив стейкхолдерів на інноваційний потенціал будівельних підприємств регіонів України у формі індексів росту.</w:t>
      </w:r>
    </w:p>
    <w:p w:rsidR="009F06BF" w:rsidRPr="005272DD" w:rsidRDefault="009F06BF" w:rsidP="009E6834">
      <w:pPr>
        <w:spacing w:line="360" w:lineRule="auto"/>
        <w:ind w:firstLine="709"/>
        <w:jc w:val="both"/>
        <w:rPr>
          <w:sz w:val="28"/>
          <w:szCs w:val="28"/>
          <w:lang w:val="uk-UA"/>
        </w:rPr>
      </w:pPr>
      <w:r>
        <w:rPr>
          <w:sz w:val="28"/>
          <w:szCs w:val="28"/>
          <w:lang w:val="uk-UA"/>
        </w:rPr>
        <w:t>Визначені в</w:t>
      </w:r>
      <w:r w:rsidRPr="005272DD">
        <w:rPr>
          <w:sz w:val="28"/>
          <w:szCs w:val="28"/>
          <w:lang w:val="uk-UA"/>
        </w:rPr>
        <w:t xml:space="preserve">ищезазначені індекси росту для Харківської області за 2009-2013 рр. </w:t>
      </w:r>
    </w:p>
    <w:p w:rsidR="009F06BF" w:rsidRPr="005272DD" w:rsidRDefault="009F06BF" w:rsidP="009E6834">
      <w:pPr>
        <w:spacing w:line="360" w:lineRule="auto"/>
        <w:ind w:firstLine="709"/>
        <w:jc w:val="both"/>
        <w:rPr>
          <w:sz w:val="28"/>
          <w:szCs w:val="28"/>
          <w:lang w:val="uk-UA"/>
        </w:rPr>
      </w:pPr>
      <w:r w:rsidRPr="005272DD">
        <w:rPr>
          <w:b/>
          <w:sz w:val="28"/>
          <w:szCs w:val="28"/>
          <w:lang w:val="uk-UA"/>
        </w:rPr>
        <w:t>3.4.</w:t>
      </w:r>
      <w:r w:rsidRPr="005272DD">
        <w:rPr>
          <w:sz w:val="28"/>
          <w:szCs w:val="28"/>
          <w:lang w:val="uk-UA"/>
        </w:rPr>
        <w:t xml:space="preserve"> Побудова радару впливу стейкхолдерів на інноваційний потенціал будівельних підприємств регіонів України.</w:t>
      </w:r>
    </w:p>
    <w:p w:rsidR="009F06BF" w:rsidRPr="005272DD" w:rsidRDefault="009F06BF" w:rsidP="009E6834">
      <w:pPr>
        <w:spacing w:line="360" w:lineRule="auto"/>
        <w:ind w:firstLine="709"/>
        <w:jc w:val="both"/>
        <w:rPr>
          <w:sz w:val="28"/>
          <w:szCs w:val="28"/>
          <w:lang w:val="uk-UA"/>
        </w:rPr>
      </w:pPr>
      <w:r w:rsidRPr="005272DD">
        <w:rPr>
          <w:sz w:val="28"/>
          <w:szCs w:val="28"/>
          <w:lang w:val="uk-UA"/>
        </w:rPr>
        <w:t xml:space="preserve">Пропонуємо </w:t>
      </w:r>
      <w:r>
        <w:rPr>
          <w:sz w:val="28"/>
          <w:szCs w:val="28"/>
          <w:lang w:val="uk-UA"/>
        </w:rPr>
        <w:t xml:space="preserve">надалі </w:t>
      </w:r>
      <w:r w:rsidRPr="005272DD">
        <w:rPr>
          <w:sz w:val="28"/>
          <w:szCs w:val="28"/>
          <w:lang w:val="uk-UA"/>
        </w:rPr>
        <w:t xml:space="preserve">застосовувати графічний метод до оцінки впливу стейкхолдерів на інноваційний потенціал будівельних підприємств регіонів України – метод оцінки багатокутників, який базується на побудові так званої «Радіальної діаграми» або «Багатокутника». Сутність методу оцінки багатокутників докладно наведено у наукових роботах таких авторів </w:t>
      </w:r>
      <w:r w:rsidRPr="005272DD">
        <w:rPr>
          <w:sz w:val="28"/>
          <w:szCs w:val="28"/>
          <w:lang w:val="uk-UA"/>
        </w:rPr>
        <w:br/>
        <w:t>Д.О. Барабась, Т.І. Длугопольська, О.С. Дубова, С.М. Клименко, А.Д. Кухарук, В.О. Літвінова, Т.В. Омельяненко [</w:t>
      </w:r>
      <w:r>
        <w:rPr>
          <w:sz w:val="28"/>
          <w:szCs w:val="28"/>
          <w:lang w:val="uk-UA"/>
        </w:rPr>
        <w:t>1-4</w:t>
      </w:r>
      <w:r w:rsidRPr="005272DD">
        <w:rPr>
          <w:sz w:val="28"/>
          <w:szCs w:val="28"/>
          <w:lang w:val="uk-UA"/>
        </w:rPr>
        <w:t>].</w:t>
      </w:r>
    </w:p>
    <w:p w:rsidR="009F06BF" w:rsidRPr="005272DD" w:rsidRDefault="009F06BF" w:rsidP="009E6834">
      <w:pPr>
        <w:spacing w:line="360" w:lineRule="auto"/>
        <w:ind w:firstLine="709"/>
        <w:jc w:val="both"/>
        <w:rPr>
          <w:sz w:val="28"/>
          <w:szCs w:val="28"/>
          <w:lang w:val="uk-UA"/>
        </w:rPr>
      </w:pPr>
      <w:r w:rsidRPr="005272DD">
        <w:rPr>
          <w:b/>
          <w:sz w:val="28"/>
          <w:szCs w:val="28"/>
          <w:lang w:val="uk-UA"/>
        </w:rPr>
        <w:t>3.</w:t>
      </w:r>
      <w:r>
        <w:rPr>
          <w:b/>
          <w:sz w:val="28"/>
          <w:szCs w:val="28"/>
          <w:lang w:val="uk-UA"/>
        </w:rPr>
        <w:t>5</w:t>
      </w:r>
      <w:r w:rsidRPr="005272DD">
        <w:rPr>
          <w:b/>
          <w:sz w:val="28"/>
          <w:szCs w:val="28"/>
          <w:lang w:val="uk-UA"/>
        </w:rPr>
        <w:t>.</w:t>
      </w:r>
      <w:r w:rsidRPr="005272DD">
        <w:rPr>
          <w:sz w:val="28"/>
          <w:szCs w:val="28"/>
          <w:lang w:val="uk-UA"/>
        </w:rPr>
        <w:t xml:space="preserve"> Розрахунок узагальненої величини впливу стейкхолдерів на інноваційний потенціал будівельних підприємств регіонів України.</w:t>
      </w:r>
    </w:p>
    <w:p w:rsidR="009F06BF" w:rsidRDefault="009F06BF" w:rsidP="00F96842">
      <w:pPr>
        <w:spacing w:line="360" w:lineRule="auto"/>
        <w:ind w:firstLine="709"/>
        <w:jc w:val="both"/>
        <w:rPr>
          <w:sz w:val="28"/>
          <w:szCs w:val="28"/>
          <w:lang w:val="uk-UA"/>
        </w:rPr>
      </w:pPr>
      <w:r w:rsidRPr="005272DD">
        <w:rPr>
          <w:sz w:val="28"/>
          <w:szCs w:val="28"/>
          <w:lang w:val="uk-UA"/>
        </w:rPr>
        <w:t xml:space="preserve">Практична реалізація методичного підходу до оцінки впливу зовнішніх факторів на інноваційний потенціал будівельних підприємств Харківської області дозволила побудувати, використовуючи метод оцінки багатокутників, радари впливу стейкхолдерів у період 2009 – 2013 рр. </w:t>
      </w:r>
    </w:p>
    <w:p w:rsidR="009F06BF" w:rsidRDefault="009F06BF" w:rsidP="009E6834">
      <w:pPr>
        <w:autoSpaceDE w:val="0"/>
        <w:autoSpaceDN w:val="0"/>
        <w:adjustRightInd w:val="0"/>
        <w:spacing w:line="360" w:lineRule="auto"/>
        <w:ind w:firstLine="709"/>
        <w:jc w:val="both"/>
        <w:rPr>
          <w:sz w:val="28"/>
          <w:szCs w:val="28"/>
          <w:lang w:val="uk-UA"/>
        </w:rPr>
      </w:pPr>
      <w:r w:rsidRPr="005272DD">
        <w:rPr>
          <w:sz w:val="28"/>
          <w:szCs w:val="28"/>
          <w:lang w:val="uk-UA"/>
        </w:rPr>
        <w:t xml:space="preserve">Таким чином врахування інтересів </w:t>
      </w:r>
      <w:r>
        <w:rPr>
          <w:sz w:val="28"/>
          <w:szCs w:val="28"/>
          <w:lang w:val="uk-UA"/>
        </w:rPr>
        <w:t>з</w:t>
      </w:r>
      <w:r w:rsidRPr="005272DD">
        <w:rPr>
          <w:sz w:val="28"/>
          <w:szCs w:val="28"/>
          <w:lang w:val="uk-UA"/>
        </w:rPr>
        <w:t>азначених груп стейкхолдерів: «Інвестори», «Працівники», «Споживачі», «Органи державної та місцевої влади», «Постачальники» та «Партнери» дозволить успішно розвивати і нарощувати інноваційний потенціал будівельних підприємств регіонів України.</w:t>
      </w:r>
    </w:p>
    <w:p w:rsidR="009F06BF" w:rsidRDefault="009F06BF" w:rsidP="009E6834">
      <w:pPr>
        <w:autoSpaceDE w:val="0"/>
        <w:autoSpaceDN w:val="0"/>
        <w:adjustRightInd w:val="0"/>
        <w:spacing w:line="360" w:lineRule="auto"/>
        <w:ind w:firstLine="709"/>
        <w:jc w:val="both"/>
        <w:rPr>
          <w:sz w:val="28"/>
          <w:szCs w:val="28"/>
          <w:lang w:val="uk-UA"/>
        </w:rPr>
      </w:pPr>
    </w:p>
    <w:p w:rsidR="009F06BF" w:rsidRPr="00BF3A72" w:rsidRDefault="009F06BF" w:rsidP="00D40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
          <w:sz w:val="28"/>
          <w:szCs w:val="28"/>
          <w:shd w:val="clear" w:color="auto" w:fill="FFFFFF"/>
          <w:lang w:val="uk-UA"/>
        </w:rPr>
      </w:pPr>
      <w:r>
        <w:rPr>
          <w:b/>
          <w:sz w:val="28"/>
          <w:szCs w:val="28"/>
          <w:shd w:val="clear" w:color="auto" w:fill="FFFFFF"/>
          <w:lang w:val="uk-UA"/>
        </w:rPr>
        <w:t>Література:</w:t>
      </w:r>
    </w:p>
    <w:p w:rsidR="009F06BF" w:rsidRPr="00C53568" w:rsidRDefault="009F06BF" w:rsidP="00C53568">
      <w:pPr>
        <w:pStyle w:val="ListParagraph"/>
        <w:numPr>
          <w:ilvl w:val="0"/>
          <w:numId w:val="9"/>
        </w:numPr>
        <w:spacing w:line="360" w:lineRule="auto"/>
        <w:jc w:val="both"/>
        <w:rPr>
          <w:rFonts w:ascii="Times New Roman" w:hAnsi="Times New Roman"/>
          <w:sz w:val="28"/>
          <w:szCs w:val="28"/>
        </w:rPr>
      </w:pPr>
      <w:r w:rsidRPr="00C53568">
        <w:rPr>
          <w:rFonts w:ascii="Times New Roman" w:hAnsi="Times New Roman"/>
          <w:sz w:val="28"/>
          <w:szCs w:val="28"/>
        </w:rPr>
        <w:t>Длугопольська Т.І. Теоретико-методичні підходи до оцінювання конкурентоспроможності фірми / Т.І. Длугопольська // Наука й економіка. Сер. Менеджмент і маркетинг. – 2014. - № 1(33). – С. 63-69.</w:t>
      </w:r>
    </w:p>
    <w:p w:rsidR="009F06BF" w:rsidRPr="00C53568" w:rsidRDefault="009F06BF" w:rsidP="00C53568">
      <w:pPr>
        <w:pStyle w:val="ListParagraph"/>
        <w:numPr>
          <w:ilvl w:val="0"/>
          <w:numId w:val="9"/>
        </w:numPr>
        <w:spacing w:line="360" w:lineRule="auto"/>
        <w:jc w:val="both"/>
        <w:rPr>
          <w:rFonts w:ascii="Times New Roman" w:hAnsi="Times New Roman"/>
          <w:sz w:val="28"/>
          <w:szCs w:val="28"/>
        </w:rPr>
      </w:pPr>
      <w:r w:rsidRPr="00C53568">
        <w:rPr>
          <w:rFonts w:ascii="Times New Roman" w:hAnsi="Times New Roman"/>
          <w:sz w:val="28"/>
          <w:szCs w:val="28"/>
        </w:rPr>
        <w:t>Літвінова В.О. Графічні методи дослідження у аналізі рівня конкурентоспроможності продукції / В.О. Літвінова // Біснесінформ. – 2012. – №4. – С. 53-56.</w:t>
      </w:r>
    </w:p>
    <w:p w:rsidR="009F06BF" w:rsidRPr="00C53568" w:rsidRDefault="009F06BF" w:rsidP="00C53568">
      <w:pPr>
        <w:pStyle w:val="ListParagraph"/>
        <w:numPr>
          <w:ilvl w:val="0"/>
          <w:numId w:val="9"/>
        </w:numPr>
        <w:spacing w:line="360" w:lineRule="auto"/>
        <w:jc w:val="both"/>
        <w:rPr>
          <w:rFonts w:ascii="Times New Roman" w:hAnsi="Times New Roman"/>
          <w:sz w:val="28"/>
          <w:szCs w:val="28"/>
        </w:rPr>
      </w:pPr>
      <w:r w:rsidRPr="00C53568">
        <w:rPr>
          <w:rFonts w:ascii="Times New Roman" w:hAnsi="Times New Roman"/>
          <w:sz w:val="28"/>
          <w:szCs w:val="28"/>
        </w:rPr>
        <w:t>Кухарук А.Д. Класифікація та аналіз методів оцінки конкурентоспроможності промислових підприємств / А.Д. Кухарук // Проблеми системного підходу в економіці. Електронне наукове фахове видання. – № 1. – 2011. – режим доступу: http://www.nbuv.gov.ua/e-journals/PSPE/2011_1/Kuharuk_111.htm</w:t>
      </w:r>
    </w:p>
    <w:p w:rsidR="009F06BF" w:rsidRPr="000F7849" w:rsidRDefault="009F06BF" w:rsidP="003B1350">
      <w:pPr>
        <w:pStyle w:val="ListParagraph"/>
        <w:numPr>
          <w:ilvl w:val="0"/>
          <w:numId w:val="9"/>
        </w:numPr>
        <w:autoSpaceDE w:val="0"/>
        <w:autoSpaceDN w:val="0"/>
        <w:adjustRightInd w:val="0"/>
        <w:spacing w:line="360" w:lineRule="auto"/>
        <w:jc w:val="both"/>
        <w:rPr>
          <w:sz w:val="28"/>
          <w:szCs w:val="28"/>
        </w:rPr>
      </w:pPr>
      <w:r w:rsidRPr="00C10BC7">
        <w:rPr>
          <w:rFonts w:ascii="Times New Roman" w:hAnsi="Times New Roman"/>
          <w:sz w:val="28"/>
          <w:szCs w:val="28"/>
        </w:rPr>
        <w:t>. Клименко С.М., Дубова О.С., Барабась Д.О., Омельяненко Т.В. Управління конкурентоспроможністю підприємства / С.М. Клименко, О.С. Дубова, Д.О. Барабась, Т.В. Омельяненко – К: КНЕУ, 2006. – 527 с.</w:t>
      </w:r>
    </w:p>
    <w:p w:rsidR="009F06BF" w:rsidRPr="00D40792" w:rsidRDefault="009F06BF" w:rsidP="000F7849">
      <w:pPr>
        <w:autoSpaceDE w:val="0"/>
        <w:autoSpaceDN w:val="0"/>
        <w:adjustRightInd w:val="0"/>
        <w:spacing w:line="360" w:lineRule="auto"/>
        <w:jc w:val="both"/>
        <w:rPr>
          <w:sz w:val="28"/>
          <w:szCs w:val="28"/>
          <w:lang w:val="uk-UA"/>
        </w:rPr>
      </w:pPr>
    </w:p>
    <w:p w:rsidR="009F06BF" w:rsidRPr="0024753A" w:rsidRDefault="009F06BF">
      <w:pPr>
        <w:rPr>
          <w:lang w:val="uk-UA"/>
        </w:rPr>
      </w:pPr>
    </w:p>
    <w:sectPr w:rsidR="009F06BF" w:rsidRPr="0024753A" w:rsidSect="000576C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4EFB"/>
    <w:multiLevelType w:val="hybridMultilevel"/>
    <w:tmpl w:val="6BA03DB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8F558FE"/>
    <w:multiLevelType w:val="hybridMultilevel"/>
    <w:tmpl w:val="8D72D22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9C27D84"/>
    <w:multiLevelType w:val="hybridMultilevel"/>
    <w:tmpl w:val="2E0CFC6A"/>
    <w:lvl w:ilvl="0" w:tplc="A4920F6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0A2B4B6C"/>
    <w:multiLevelType w:val="hybridMultilevel"/>
    <w:tmpl w:val="5DBA3C6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E21463A"/>
    <w:multiLevelType w:val="hybridMultilevel"/>
    <w:tmpl w:val="AC48C60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9EF2C78"/>
    <w:multiLevelType w:val="hybridMultilevel"/>
    <w:tmpl w:val="656434FC"/>
    <w:lvl w:ilvl="0" w:tplc="B35A22B0">
      <w:start w:val="1"/>
      <w:numFmt w:val="bullet"/>
      <w:lvlText w:val=""/>
      <w:lvlJc w:val="left"/>
      <w:pPr>
        <w:tabs>
          <w:tab w:val="num" w:pos="2498"/>
        </w:tabs>
        <w:ind w:left="2498"/>
      </w:pPr>
      <w:rPr>
        <w:rFonts w:ascii="Symbol" w:hAnsi="Symbol" w:hint="default"/>
      </w:rPr>
    </w:lvl>
    <w:lvl w:ilvl="1" w:tplc="FEF6A806">
      <w:start w:val="1"/>
      <w:numFmt w:val="bullet"/>
      <w:lvlText w:val=""/>
      <w:lvlJc w:val="left"/>
      <w:pPr>
        <w:tabs>
          <w:tab w:val="num" w:pos="1789"/>
        </w:tabs>
        <w:ind w:left="1789"/>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CD636A3"/>
    <w:multiLevelType w:val="hybridMultilevel"/>
    <w:tmpl w:val="8B6C5874"/>
    <w:lvl w:ilvl="0" w:tplc="B35A22B0">
      <w:start w:val="1"/>
      <w:numFmt w:val="bullet"/>
      <w:lvlText w:val=""/>
      <w:lvlJc w:val="left"/>
      <w:pPr>
        <w:tabs>
          <w:tab w:val="num" w:pos="2498"/>
        </w:tabs>
        <w:ind w:left="2498"/>
      </w:pPr>
      <w:rPr>
        <w:rFonts w:ascii="Symbol" w:hAnsi="Symbol" w:hint="default"/>
      </w:rPr>
    </w:lvl>
    <w:lvl w:ilvl="1" w:tplc="3C70E876">
      <w:start w:val="1"/>
      <w:numFmt w:val="bullet"/>
      <w:lvlText w:val=""/>
      <w:lvlJc w:val="left"/>
      <w:pPr>
        <w:tabs>
          <w:tab w:val="num" w:pos="1789"/>
        </w:tabs>
        <w:ind w:left="1789"/>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6BB849EA"/>
    <w:multiLevelType w:val="hybridMultilevel"/>
    <w:tmpl w:val="A28E926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71F05763"/>
    <w:multiLevelType w:val="hybridMultilevel"/>
    <w:tmpl w:val="785A705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7AB54A44"/>
    <w:multiLevelType w:val="hybridMultilevel"/>
    <w:tmpl w:val="76145742"/>
    <w:lvl w:ilvl="0" w:tplc="7CBA6740">
      <w:start w:val="1"/>
      <w:numFmt w:val="decimal"/>
      <w:lvlText w:val="%1."/>
      <w:lvlJc w:val="left"/>
      <w:pPr>
        <w:tabs>
          <w:tab w:val="num" w:pos="1669"/>
        </w:tabs>
        <w:ind w:left="1669" w:hanging="9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13A9"/>
    <w:rsid w:val="000213A9"/>
    <w:rsid w:val="000576C2"/>
    <w:rsid w:val="0009745A"/>
    <w:rsid w:val="000A1C84"/>
    <w:rsid w:val="000F7849"/>
    <w:rsid w:val="001167A1"/>
    <w:rsid w:val="001667C0"/>
    <w:rsid w:val="0024753A"/>
    <w:rsid w:val="00365774"/>
    <w:rsid w:val="003936C4"/>
    <w:rsid w:val="003B0E30"/>
    <w:rsid w:val="003B1350"/>
    <w:rsid w:val="005272DD"/>
    <w:rsid w:val="00784B37"/>
    <w:rsid w:val="0079060B"/>
    <w:rsid w:val="009E6834"/>
    <w:rsid w:val="009F06BF"/>
    <w:rsid w:val="00B1224F"/>
    <w:rsid w:val="00B92655"/>
    <w:rsid w:val="00BE32A7"/>
    <w:rsid w:val="00BF3A72"/>
    <w:rsid w:val="00C0018E"/>
    <w:rsid w:val="00C10BC7"/>
    <w:rsid w:val="00C53393"/>
    <w:rsid w:val="00C53568"/>
    <w:rsid w:val="00C81E26"/>
    <w:rsid w:val="00C86CA0"/>
    <w:rsid w:val="00CC247F"/>
    <w:rsid w:val="00D156D3"/>
    <w:rsid w:val="00D40792"/>
    <w:rsid w:val="00DE56DE"/>
    <w:rsid w:val="00E25434"/>
    <w:rsid w:val="00EC0CBF"/>
    <w:rsid w:val="00EE2DBD"/>
    <w:rsid w:val="00EF64C3"/>
    <w:rsid w:val="00F968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834"/>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576C2"/>
    <w:pPr>
      <w:ind w:left="720"/>
      <w:contextualSpacing/>
    </w:pPr>
    <w:rPr>
      <w:rFonts w:ascii="Calibri" w:eastAsia="Calibri" w:hAnsi="Calibri"/>
      <w:sz w:val="22"/>
      <w:szCs w:val="22"/>
      <w:lang w:val="uk-UA" w:eastAsia="en-US"/>
    </w:rPr>
  </w:style>
  <w:style w:type="paragraph" w:styleId="BalloonText">
    <w:name w:val="Balloon Text"/>
    <w:basedOn w:val="Normal"/>
    <w:link w:val="BalloonTextChar"/>
    <w:uiPriority w:val="99"/>
    <w:semiHidden/>
    <w:rsid w:val="00D156D3"/>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156D3"/>
    <w:rPr>
      <w:rFonts w:ascii="Segoe UI" w:hAnsi="Segoe UI" w:cs="Segoe UI"/>
      <w:sz w:val="18"/>
      <w:szCs w:val="18"/>
      <w:lang w:eastAsia="ru-RU"/>
    </w:rPr>
  </w:style>
  <w:style w:type="paragraph" w:styleId="Title">
    <w:name w:val="Title"/>
    <w:basedOn w:val="Normal"/>
    <w:link w:val="TitleChar"/>
    <w:uiPriority w:val="99"/>
    <w:qFormat/>
    <w:rsid w:val="000F7849"/>
    <w:pPr>
      <w:jc w:val="center"/>
    </w:pPr>
    <w:rPr>
      <w:sz w:val="32"/>
      <w:szCs w:val="32"/>
    </w:rPr>
  </w:style>
  <w:style w:type="character" w:customStyle="1" w:styleId="TitleChar">
    <w:name w:val="Title Char"/>
    <w:basedOn w:val="DefaultParagraphFont"/>
    <w:link w:val="Title"/>
    <w:uiPriority w:val="99"/>
    <w:locked/>
    <w:rsid w:val="000F7849"/>
    <w:rPr>
      <w:rFonts w:ascii="Times New Roman" w:hAnsi="Times New Roman" w:cs="Times New Roman"/>
      <w:sz w:val="32"/>
      <w:szCs w:val="32"/>
      <w:lang w:eastAsia="ru-RU"/>
    </w:rPr>
  </w:style>
  <w:style w:type="character" w:styleId="Hyperlink">
    <w:name w:val="Hyperlink"/>
    <w:basedOn w:val="DefaultParagraphFont"/>
    <w:uiPriority w:val="99"/>
    <w:rsid w:val="00EC0CB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176</TotalTime>
  <Pages>7</Pages>
  <Words>7285</Words>
  <Characters>4153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cp:lastPrinted>2016-07-30T18:04:00Z</cp:lastPrinted>
  <dcterms:created xsi:type="dcterms:W3CDTF">2016-07-30T15:30:00Z</dcterms:created>
  <dcterms:modified xsi:type="dcterms:W3CDTF">2016-08-26T20:17:00Z</dcterms:modified>
</cp:coreProperties>
</file>