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679" w:rsidRPr="004451E4" w:rsidRDefault="00A72679" w:rsidP="00DD2912">
      <w:pPr>
        <w:spacing w:after="0" w:line="360" w:lineRule="auto"/>
        <w:jc w:val="right"/>
        <w:rPr>
          <w:rFonts w:ascii="Times New Roman" w:hAnsi="Times New Roman" w:cs="Times New Roman"/>
          <w:b/>
          <w:sz w:val="28"/>
          <w:szCs w:val="28"/>
          <w:lang w:val="uk-UA"/>
        </w:rPr>
      </w:pPr>
      <w:r w:rsidRPr="004451E4">
        <w:rPr>
          <w:rFonts w:ascii="Times New Roman" w:hAnsi="Times New Roman" w:cs="Times New Roman"/>
          <w:b/>
          <w:sz w:val="28"/>
          <w:szCs w:val="28"/>
          <w:lang w:val="uk-UA"/>
        </w:rPr>
        <w:t>Яна Сургай</w:t>
      </w:r>
    </w:p>
    <w:p w:rsidR="00A72679" w:rsidRPr="004451E4" w:rsidRDefault="00A72679" w:rsidP="00DD2912">
      <w:pPr>
        <w:spacing w:after="0" w:line="360" w:lineRule="auto"/>
        <w:jc w:val="right"/>
        <w:rPr>
          <w:rFonts w:ascii="Times New Roman" w:hAnsi="Times New Roman" w:cs="Times New Roman"/>
          <w:b/>
          <w:sz w:val="28"/>
          <w:szCs w:val="28"/>
          <w:lang w:val="uk-UA"/>
        </w:rPr>
      </w:pPr>
      <w:r w:rsidRPr="004451E4">
        <w:rPr>
          <w:rFonts w:ascii="Times New Roman" w:hAnsi="Times New Roman" w:cs="Times New Roman"/>
          <w:b/>
          <w:sz w:val="28"/>
          <w:szCs w:val="28"/>
          <w:lang w:val="uk-UA"/>
        </w:rPr>
        <w:t xml:space="preserve"> (Харків, Україна)</w:t>
      </w:r>
    </w:p>
    <w:p w:rsidR="00A72679" w:rsidRPr="00DD2912" w:rsidRDefault="00A72679" w:rsidP="00163DB9">
      <w:pPr>
        <w:spacing w:after="0" w:line="360" w:lineRule="auto"/>
        <w:jc w:val="right"/>
        <w:rPr>
          <w:rFonts w:ascii="Times New Roman" w:hAnsi="Times New Roman" w:cs="Times New Roman"/>
          <w:sz w:val="28"/>
          <w:szCs w:val="28"/>
          <w:lang w:val="uk-UA"/>
        </w:rPr>
      </w:pPr>
    </w:p>
    <w:p w:rsidR="00A72679" w:rsidRPr="007D2C4C" w:rsidRDefault="00A72679" w:rsidP="00954A08">
      <w:pPr>
        <w:spacing w:after="0" w:line="360" w:lineRule="auto"/>
        <w:ind w:firstLine="709"/>
        <w:jc w:val="center"/>
        <w:rPr>
          <w:rFonts w:ascii="Times New Roman" w:hAnsi="Times New Roman" w:cs="Times New Roman"/>
          <w:b/>
          <w:bCs/>
          <w:sz w:val="28"/>
          <w:szCs w:val="28"/>
          <w:lang w:val="uk-UA"/>
        </w:rPr>
      </w:pPr>
      <w:r w:rsidRPr="007D2C4C">
        <w:rPr>
          <w:rFonts w:ascii="Times New Roman" w:hAnsi="Times New Roman" w:cs="Times New Roman"/>
          <w:b/>
          <w:bCs/>
          <w:sz w:val="28"/>
          <w:szCs w:val="28"/>
          <w:lang w:val="uk-UA"/>
        </w:rPr>
        <w:t>ПРОБЛЕМИ І ПЕРСПЕКТИВИ НАБЛИЖЕННЯ</w:t>
      </w:r>
    </w:p>
    <w:p w:rsidR="00A72679" w:rsidRDefault="00A72679" w:rsidP="007D2C4C">
      <w:pPr>
        <w:spacing w:after="0" w:line="360" w:lineRule="auto"/>
        <w:ind w:firstLine="709"/>
        <w:jc w:val="center"/>
        <w:rPr>
          <w:rFonts w:ascii="Times New Roman" w:hAnsi="Times New Roman" w:cs="Times New Roman"/>
          <w:b/>
          <w:bCs/>
          <w:sz w:val="28"/>
          <w:szCs w:val="28"/>
          <w:lang w:val="uk-UA"/>
        </w:rPr>
      </w:pPr>
      <w:r w:rsidRPr="007D2C4C">
        <w:rPr>
          <w:rFonts w:ascii="Times New Roman" w:hAnsi="Times New Roman" w:cs="Times New Roman"/>
          <w:b/>
          <w:bCs/>
          <w:sz w:val="28"/>
          <w:szCs w:val="28"/>
          <w:lang w:val="uk-UA"/>
        </w:rPr>
        <w:t>ПРАВОВОЇ СИСТЕМИ УКРАЇНИ ДО ЄВРОПЕЙСЬКИХ СТАНДАРТІВ</w:t>
      </w:r>
    </w:p>
    <w:p w:rsidR="00A72679" w:rsidRPr="007D2C4C" w:rsidRDefault="00A72679" w:rsidP="007D2C4C">
      <w:pPr>
        <w:spacing w:after="0" w:line="360" w:lineRule="auto"/>
        <w:ind w:firstLine="709"/>
        <w:jc w:val="center"/>
        <w:rPr>
          <w:rFonts w:ascii="Times New Roman" w:hAnsi="Times New Roman" w:cs="Times New Roman"/>
          <w:b/>
          <w:bCs/>
          <w:sz w:val="28"/>
          <w:szCs w:val="28"/>
          <w:lang w:val="uk-UA"/>
        </w:rPr>
      </w:pPr>
    </w:p>
    <w:p w:rsidR="00A72679" w:rsidRPr="00FF6144" w:rsidRDefault="00A72679" w:rsidP="00F52108">
      <w:pPr>
        <w:spacing w:after="0" w:line="360" w:lineRule="auto"/>
        <w:ind w:firstLine="709"/>
        <w:jc w:val="both"/>
        <w:rPr>
          <w:rFonts w:ascii="Times New Roman" w:hAnsi="Times New Roman" w:cs="Times New Roman"/>
          <w:sz w:val="28"/>
          <w:szCs w:val="28"/>
          <w:lang w:val="uk-UA"/>
        </w:rPr>
      </w:pPr>
      <w:r w:rsidRPr="00FF6144">
        <w:rPr>
          <w:rFonts w:ascii="Times New Roman" w:hAnsi="Times New Roman" w:cs="Times New Roman"/>
          <w:sz w:val="28"/>
          <w:szCs w:val="28"/>
          <w:lang w:val="uk-UA"/>
        </w:rPr>
        <w:t>Становлення України як правової держави та розвиток у ній громадянського суспільства з високим рівнем захисту прав та свобод людини і громадянина  обумовлює впровадження у практику загальновизнаних принципів і норм міжнародного права, міжнародних стандартів Ради Європи та Європейського Союзу, спрямованих на вдосконалення вітчизняної правової системи,  підвищення ефективності і прозорості роботи органів державної влади.</w:t>
      </w:r>
    </w:p>
    <w:p w:rsidR="00A72679" w:rsidRPr="00FF6144" w:rsidRDefault="00A72679" w:rsidP="00F52108">
      <w:pPr>
        <w:spacing w:after="0" w:line="360" w:lineRule="auto"/>
        <w:ind w:firstLine="709"/>
        <w:jc w:val="both"/>
        <w:rPr>
          <w:rFonts w:ascii="Times New Roman" w:hAnsi="Times New Roman" w:cs="Times New Roman"/>
          <w:sz w:val="28"/>
          <w:szCs w:val="28"/>
        </w:rPr>
      </w:pPr>
      <w:r w:rsidRPr="00FF6144">
        <w:rPr>
          <w:rFonts w:ascii="Times New Roman" w:hAnsi="Times New Roman" w:cs="Times New Roman"/>
          <w:sz w:val="28"/>
          <w:szCs w:val="28"/>
          <w:lang w:val="uk-UA"/>
        </w:rPr>
        <w:t>Розуміння ролі державної влади в демократичних країнах (особливо розуміння того, що обов’язком посадовців є справедливе та безстороннє застосування закону незалежно від можливих соціальних або політичних тисків) значно відрізняється в різних країнах та соціально-економічних умовах Європи, але єдиним принципом для всіх демократичних держав залишається принцип гласності, тобто можливість громадян отримувати належну інформацію про організацію органів публічної влади та умови, в яких створюються закони. [4, с.93] Право громадськості на отримання інформації є основоположним принципом, що випливає зі статті 10 Європейської конвенції з прав людини.[2,</w:t>
      </w:r>
      <w:r w:rsidRPr="00FF6144">
        <w:rPr>
          <w:rFonts w:ascii="Times New Roman" w:hAnsi="Times New Roman" w:cs="Times New Roman"/>
          <w:sz w:val="28"/>
          <w:szCs w:val="28"/>
        </w:rPr>
        <w:t xml:space="preserve"> </w:t>
      </w:r>
      <w:r w:rsidRPr="00FF6144">
        <w:rPr>
          <w:rFonts w:ascii="Times New Roman" w:hAnsi="Times New Roman" w:cs="Times New Roman"/>
          <w:sz w:val="28"/>
          <w:szCs w:val="28"/>
          <w:lang w:val="en-US"/>
        </w:rPr>
        <w:t>c</w:t>
      </w:r>
      <w:r w:rsidRPr="00FF6144">
        <w:rPr>
          <w:rFonts w:ascii="Times New Roman" w:hAnsi="Times New Roman" w:cs="Times New Roman"/>
          <w:sz w:val="28"/>
          <w:szCs w:val="28"/>
        </w:rPr>
        <w:t>.141]</w:t>
      </w:r>
    </w:p>
    <w:p w:rsidR="00A72679" w:rsidRPr="00FF6144" w:rsidRDefault="00A72679" w:rsidP="00F52108">
      <w:pPr>
        <w:spacing w:after="0" w:line="360" w:lineRule="auto"/>
        <w:ind w:firstLine="709"/>
        <w:jc w:val="both"/>
        <w:rPr>
          <w:rFonts w:ascii="Times New Roman" w:hAnsi="Times New Roman" w:cs="Times New Roman"/>
          <w:sz w:val="28"/>
          <w:szCs w:val="28"/>
          <w:lang w:val="uk-UA"/>
        </w:rPr>
      </w:pPr>
      <w:r w:rsidRPr="00FF6144">
        <w:rPr>
          <w:rFonts w:ascii="Times New Roman" w:hAnsi="Times New Roman" w:cs="Times New Roman"/>
          <w:sz w:val="28"/>
          <w:szCs w:val="28"/>
          <w:lang w:val="uk-UA"/>
        </w:rPr>
        <w:t>Здобувши  незалежність і ставши на шлях демократи</w:t>
      </w:r>
      <w:r w:rsidRPr="00FF6144">
        <w:rPr>
          <w:rFonts w:ascii="Times New Roman" w:hAnsi="Times New Roman" w:cs="Times New Roman"/>
          <w:sz w:val="28"/>
          <w:szCs w:val="28"/>
          <w:lang w:val="en-US"/>
        </w:rPr>
        <w:t>x</w:t>
      </w:r>
      <w:r w:rsidRPr="00FF6144">
        <w:rPr>
          <w:rFonts w:ascii="Times New Roman" w:hAnsi="Times New Roman" w:cs="Times New Roman"/>
          <w:sz w:val="28"/>
          <w:szCs w:val="28"/>
          <w:lang w:val="uk-UA"/>
        </w:rPr>
        <w:t xml:space="preserve">них перетворень, українська держава визнала необхідність упровадження у вітчизняне судочинство та адміністративну практику європейських стандартів щодо гарантій реалізації прав людини. Саме тому перед українською юридичною спільнотою постає  завдання розробити методологічні засади, вивчити існуючі підходи до адаптації та гармонізації національного законодавства з міжнародним правом з метою прискорення інтеграційного процесу до європейського політичного, економічного та правового простору. [2, с.10] Орієнтування на розбудову правової держави та входження України до європейської спільноти зумовили потребу в створенні дієвого національного механізму захисту прав громадян. </w:t>
      </w:r>
      <w:r w:rsidRPr="00FF6144">
        <w:rPr>
          <w:rFonts w:ascii="Times New Roman" w:hAnsi="Times New Roman" w:cs="Times New Roman"/>
          <w:sz w:val="28"/>
          <w:szCs w:val="28"/>
        </w:rPr>
        <w:t>[</w:t>
      </w:r>
      <w:r w:rsidRPr="00FF6144">
        <w:rPr>
          <w:rFonts w:ascii="Times New Roman" w:hAnsi="Times New Roman" w:cs="Times New Roman"/>
          <w:sz w:val="28"/>
          <w:szCs w:val="28"/>
          <w:lang w:val="uk-UA"/>
        </w:rPr>
        <w:t xml:space="preserve">5, </w:t>
      </w:r>
      <w:r w:rsidRPr="00FF6144">
        <w:rPr>
          <w:rFonts w:ascii="Times New Roman" w:hAnsi="Times New Roman" w:cs="Times New Roman"/>
          <w:sz w:val="28"/>
          <w:szCs w:val="28"/>
          <w:lang w:val="en-US"/>
        </w:rPr>
        <w:t>c</w:t>
      </w:r>
      <w:r w:rsidRPr="00FF6144">
        <w:rPr>
          <w:rFonts w:ascii="Times New Roman" w:hAnsi="Times New Roman" w:cs="Times New Roman"/>
          <w:sz w:val="28"/>
          <w:szCs w:val="28"/>
          <w:lang w:val="uk-UA"/>
        </w:rPr>
        <w:t xml:space="preserve">.87] </w:t>
      </w:r>
      <w:r w:rsidRPr="00FF6144">
        <w:rPr>
          <w:rFonts w:ascii="Times New Roman" w:hAnsi="Times New Roman" w:cs="Times New Roman"/>
          <w:sz w:val="28"/>
          <w:szCs w:val="28"/>
        </w:rPr>
        <w:t xml:space="preserve"> </w:t>
      </w:r>
    </w:p>
    <w:p w:rsidR="00A72679" w:rsidRPr="00FF6144" w:rsidRDefault="00A72679" w:rsidP="00F52108">
      <w:pPr>
        <w:spacing w:after="0" w:line="360" w:lineRule="auto"/>
        <w:ind w:firstLine="709"/>
        <w:jc w:val="both"/>
        <w:rPr>
          <w:rFonts w:ascii="Times New Roman" w:hAnsi="Times New Roman" w:cs="Times New Roman"/>
          <w:sz w:val="28"/>
          <w:szCs w:val="28"/>
          <w:lang w:val="uk-UA"/>
        </w:rPr>
      </w:pPr>
      <w:r w:rsidRPr="00FF6144">
        <w:rPr>
          <w:rFonts w:ascii="Times New Roman" w:hAnsi="Times New Roman" w:cs="Times New Roman"/>
          <w:sz w:val="28"/>
          <w:szCs w:val="28"/>
          <w:lang w:val="uk-UA"/>
        </w:rPr>
        <w:t xml:space="preserve">Сукупність правових норм, за допомогою яких забезпечуються реалізація, порядок охорони і захисту прав і свобод особистості в Україні, сформульовані в Основному законі держави як нормативно-правові гарантії конституційних прав і свобод громадян, серед яких - принципи судочинства  </w:t>
      </w:r>
      <w:r w:rsidRPr="00FF6144">
        <w:rPr>
          <w:rFonts w:ascii="Times New Roman" w:hAnsi="Times New Roman" w:cs="Times New Roman"/>
          <w:sz w:val="28"/>
          <w:szCs w:val="28"/>
        </w:rPr>
        <w:t>[</w:t>
      </w:r>
      <w:r w:rsidRPr="00FF6144">
        <w:rPr>
          <w:rFonts w:ascii="Times New Roman" w:hAnsi="Times New Roman" w:cs="Times New Roman"/>
          <w:sz w:val="28"/>
          <w:szCs w:val="28"/>
          <w:lang w:val="uk-UA"/>
        </w:rPr>
        <w:t xml:space="preserve">1, </w:t>
      </w:r>
      <w:r w:rsidRPr="00FF6144">
        <w:rPr>
          <w:rFonts w:ascii="Times New Roman" w:hAnsi="Times New Roman" w:cs="Times New Roman"/>
          <w:sz w:val="28"/>
          <w:szCs w:val="28"/>
        </w:rPr>
        <w:t>ст</w:t>
      </w:r>
      <w:r w:rsidRPr="00FF6144">
        <w:rPr>
          <w:rFonts w:ascii="Times New Roman" w:hAnsi="Times New Roman" w:cs="Times New Roman"/>
          <w:sz w:val="28"/>
          <w:szCs w:val="28"/>
          <w:lang w:val="uk-UA"/>
        </w:rPr>
        <w:t>.58-63,129</w:t>
      </w:r>
      <w:r w:rsidRPr="00FF6144">
        <w:rPr>
          <w:rFonts w:ascii="Times New Roman" w:hAnsi="Times New Roman" w:cs="Times New Roman"/>
          <w:sz w:val="28"/>
          <w:szCs w:val="28"/>
        </w:rPr>
        <w:t>]</w:t>
      </w:r>
      <w:r w:rsidRPr="00FF6144">
        <w:rPr>
          <w:rFonts w:ascii="Times New Roman" w:hAnsi="Times New Roman" w:cs="Times New Roman"/>
          <w:sz w:val="28"/>
          <w:szCs w:val="28"/>
          <w:lang w:val="uk-UA"/>
        </w:rPr>
        <w:t xml:space="preserve"> гуманного поводження з особами, притягнутими до кримінальної та адміністративної відповідальності </w:t>
      </w:r>
      <w:r w:rsidRPr="00FF6144">
        <w:rPr>
          <w:rFonts w:ascii="Times New Roman" w:hAnsi="Times New Roman" w:cs="Times New Roman"/>
          <w:sz w:val="28"/>
          <w:szCs w:val="28"/>
        </w:rPr>
        <w:t>[</w:t>
      </w:r>
      <w:r w:rsidRPr="00FF6144">
        <w:rPr>
          <w:rFonts w:ascii="Times New Roman" w:hAnsi="Times New Roman" w:cs="Times New Roman"/>
          <w:sz w:val="28"/>
          <w:szCs w:val="28"/>
          <w:lang w:val="uk-UA"/>
        </w:rPr>
        <w:t>1,ст.28-29</w:t>
      </w:r>
      <w:r w:rsidRPr="00FF6144">
        <w:rPr>
          <w:rFonts w:ascii="Times New Roman" w:hAnsi="Times New Roman" w:cs="Times New Roman"/>
          <w:sz w:val="28"/>
          <w:szCs w:val="28"/>
        </w:rPr>
        <w:t>]</w:t>
      </w:r>
      <w:r w:rsidRPr="00FF6144">
        <w:rPr>
          <w:rFonts w:ascii="Times New Roman" w:hAnsi="Times New Roman" w:cs="Times New Roman"/>
          <w:sz w:val="28"/>
          <w:szCs w:val="28"/>
          <w:lang w:val="uk-UA"/>
        </w:rPr>
        <w:t>, конституційне закріплення системи особливих державних органів, до компетенції яких належать повноваження щодо захисту конституційних прав і свобод, тощо…</w:t>
      </w:r>
    </w:p>
    <w:p w:rsidR="00A72679" w:rsidRPr="00FF6144" w:rsidRDefault="00A72679" w:rsidP="00F52108">
      <w:pPr>
        <w:spacing w:after="0" w:line="360" w:lineRule="auto"/>
        <w:ind w:firstLine="709"/>
        <w:jc w:val="both"/>
        <w:rPr>
          <w:rFonts w:ascii="Times New Roman" w:hAnsi="Times New Roman" w:cs="Times New Roman"/>
          <w:sz w:val="28"/>
          <w:szCs w:val="28"/>
          <w:lang w:val="uk-UA"/>
        </w:rPr>
      </w:pPr>
      <w:r w:rsidRPr="00FF6144">
        <w:rPr>
          <w:rFonts w:ascii="Times New Roman" w:hAnsi="Times New Roman" w:cs="Times New Roman"/>
          <w:sz w:val="28"/>
          <w:szCs w:val="28"/>
          <w:lang w:val="uk-UA"/>
        </w:rPr>
        <w:t>Серед механізмів захисту прав та свобод людини і громадянина від свавілля державних органів та посадових осіб при здійсненні ними владних повноважень в демократичних державах особливе місце посідає інститут омбудсмана, який було вперше запроваджено у 1809 р. у Швеції. На початку 50-х рр. XX ст. цей інститут існував лише у двох країнах - Швеції та Фінляндії. Нині є у понад 40 країнах світу. Практично у кожній державі ця посада має свою назву: Адвокат народу - у Румунії, Парламентський комісар у справах адміністрації - у Великій Британії, Посередник (Медіатор) - у Франції, Захисник народу - в Іспанії тощо…</w:t>
      </w:r>
      <w:r w:rsidRPr="0054468B">
        <w:rPr>
          <w:rFonts w:ascii="Times New Roman" w:hAnsi="Times New Roman" w:cs="Times New Roman"/>
          <w:sz w:val="28"/>
          <w:szCs w:val="28"/>
          <w:lang w:val="uk-UA"/>
        </w:rPr>
        <w:t>[</w:t>
      </w:r>
      <w:r w:rsidRPr="00FF6144">
        <w:rPr>
          <w:rFonts w:ascii="Times New Roman" w:hAnsi="Times New Roman" w:cs="Times New Roman"/>
          <w:sz w:val="28"/>
          <w:szCs w:val="28"/>
          <w:lang w:val="uk-UA"/>
        </w:rPr>
        <w:t>6, с.132</w:t>
      </w:r>
      <w:r w:rsidRPr="0054468B">
        <w:rPr>
          <w:rFonts w:ascii="Times New Roman" w:hAnsi="Times New Roman" w:cs="Times New Roman"/>
          <w:sz w:val="28"/>
          <w:szCs w:val="28"/>
          <w:lang w:val="uk-UA"/>
        </w:rPr>
        <w:t>]</w:t>
      </w:r>
    </w:p>
    <w:p w:rsidR="00A72679" w:rsidRPr="00FF6144" w:rsidRDefault="00A72679" w:rsidP="00F52108">
      <w:pPr>
        <w:spacing w:after="0" w:line="360" w:lineRule="auto"/>
        <w:ind w:firstLine="709"/>
        <w:jc w:val="both"/>
        <w:rPr>
          <w:rFonts w:ascii="Times New Roman" w:hAnsi="Times New Roman" w:cs="Times New Roman"/>
          <w:sz w:val="28"/>
          <w:szCs w:val="28"/>
          <w:lang w:val="uk-UA"/>
        </w:rPr>
      </w:pPr>
      <w:r w:rsidRPr="00FF6144">
        <w:rPr>
          <w:rFonts w:ascii="Times New Roman" w:hAnsi="Times New Roman" w:cs="Times New Roman"/>
          <w:sz w:val="28"/>
          <w:szCs w:val="28"/>
          <w:lang w:val="uk-UA"/>
        </w:rPr>
        <w:t xml:space="preserve">У зв'язку зі збагаченням та універсалізацією каталогу прав і свобод людини на міжнародному й національному рівнях дедалі помітнішою стає необхідність спеціалізації правозахисної діяльності омбудсмана. Запроваджується омбудсман з питань рівноправ'я чоловіків і жінок (Фінляндія), у справах національних та етнічних меншин (Угорщина), з питань захисту прав споживачів і контролю за конкуренцією (Фінляндія), з питань нагляду за станом справ в армії (ФРН, Данія). </w:t>
      </w:r>
    </w:p>
    <w:p w:rsidR="00A72679" w:rsidRPr="00FF6144" w:rsidRDefault="00A72679" w:rsidP="00F52108">
      <w:pPr>
        <w:spacing w:after="0" w:line="360" w:lineRule="auto"/>
        <w:ind w:firstLine="709"/>
        <w:jc w:val="both"/>
        <w:rPr>
          <w:rFonts w:ascii="Times New Roman" w:hAnsi="Times New Roman" w:cs="Times New Roman"/>
          <w:sz w:val="28"/>
          <w:szCs w:val="28"/>
          <w:lang w:val="uk-UA"/>
        </w:rPr>
      </w:pPr>
      <w:r w:rsidRPr="00FF6144">
        <w:rPr>
          <w:rFonts w:ascii="Times New Roman" w:hAnsi="Times New Roman" w:cs="Times New Roman"/>
          <w:sz w:val="28"/>
          <w:szCs w:val="28"/>
          <w:lang w:val="uk-UA"/>
        </w:rPr>
        <w:t>Згідно зі ст. 101 Конституції України парламентський контроль за додержанням конституційних прав і свобод людини і громадянина в Україні здійснює Уповноважений Верховної Ради України з прав людини Порядок його діяльності визначається ЗУ «Про Уповноваженого Верховної Ради України з прав людини».</w:t>
      </w:r>
      <w:r w:rsidRPr="00FF6144">
        <w:rPr>
          <w:rFonts w:ascii="Times New Roman" w:hAnsi="Times New Roman" w:cs="Times New Roman"/>
          <w:sz w:val="28"/>
          <w:szCs w:val="28"/>
        </w:rPr>
        <w:t>[</w:t>
      </w:r>
      <w:r w:rsidRPr="00FF6144">
        <w:rPr>
          <w:rFonts w:ascii="Times New Roman" w:hAnsi="Times New Roman" w:cs="Times New Roman"/>
          <w:sz w:val="28"/>
          <w:szCs w:val="28"/>
          <w:lang w:val="uk-UA"/>
        </w:rPr>
        <w:t>4</w:t>
      </w:r>
      <w:r w:rsidRPr="00FF6144">
        <w:rPr>
          <w:rFonts w:ascii="Times New Roman" w:hAnsi="Times New Roman" w:cs="Times New Roman"/>
          <w:sz w:val="28"/>
          <w:szCs w:val="28"/>
        </w:rPr>
        <w:t>]</w:t>
      </w:r>
      <w:r w:rsidRPr="00FF6144">
        <w:rPr>
          <w:rFonts w:ascii="Times New Roman" w:hAnsi="Times New Roman" w:cs="Times New Roman"/>
          <w:sz w:val="28"/>
          <w:szCs w:val="28"/>
          <w:lang w:val="uk-UA"/>
        </w:rPr>
        <w:t xml:space="preserve"> </w:t>
      </w:r>
    </w:p>
    <w:p w:rsidR="00A72679" w:rsidRPr="00FF6144" w:rsidRDefault="00A72679" w:rsidP="00F52108">
      <w:pPr>
        <w:spacing w:after="0" w:line="360" w:lineRule="auto"/>
        <w:ind w:firstLine="709"/>
        <w:jc w:val="both"/>
        <w:rPr>
          <w:rFonts w:ascii="Times New Roman" w:hAnsi="Times New Roman" w:cs="Times New Roman"/>
          <w:sz w:val="28"/>
          <w:szCs w:val="28"/>
        </w:rPr>
      </w:pPr>
      <w:r w:rsidRPr="00FF6144">
        <w:rPr>
          <w:rFonts w:ascii="Times New Roman" w:hAnsi="Times New Roman" w:cs="Times New Roman"/>
          <w:sz w:val="28"/>
          <w:szCs w:val="28"/>
          <w:lang w:val="uk-UA"/>
        </w:rPr>
        <w:t>Гарантією забезпечення прав і свобод людини і громадянина в Україні є також можливість звернення до судових органів, а умовою забезпечення верховенства права та основоположним принципом справедливого судового розгляду – незалежність судової влади, яка повинна існувати як стосовно суспільства в цілому, так і стосовно конкретних сторін спору, який розглядається у сучасній демократичній державі. Судова влада забезпечує відповідальність урядів та органів державного управління за свої дії, а відносно законодавчої влади вона бере участь у забезпеченні виконання належним чином прийнятих законів та, певною мірою, у визначенні їхньої відповідальності положенням Конституції чи актам, прийнятим на вищому рівні (наприклад, праву Європейського Союзу).</w:t>
      </w:r>
      <w:r w:rsidRPr="00FF6144">
        <w:rPr>
          <w:rFonts w:ascii="Times New Roman" w:hAnsi="Times New Roman" w:cs="Times New Roman"/>
          <w:sz w:val="28"/>
          <w:szCs w:val="28"/>
        </w:rPr>
        <w:t>[</w:t>
      </w:r>
      <w:r w:rsidRPr="00FF6144">
        <w:rPr>
          <w:rFonts w:ascii="Times New Roman" w:hAnsi="Times New Roman" w:cs="Times New Roman"/>
          <w:sz w:val="28"/>
          <w:szCs w:val="28"/>
          <w:lang w:val="uk-UA"/>
        </w:rPr>
        <w:t>2,</w:t>
      </w:r>
      <w:r w:rsidRPr="00FF6144">
        <w:rPr>
          <w:rFonts w:ascii="Times New Roman" w:hAnsi="Times New Roman" w:cs="Times New Roman"/>
          <w:sz w:val="28"/>
          <w:szCs w:val="28"/>
          <w:lang w:val="en-US"/>
        </w:rPr>
        <w:t>c</w:t>
      </w:r>
      <w:r w:rsidRPr="00FF6144">
        <w:rPr>
          <w:rFonts w:ascii="Times New Roman" w:hAnsi="Times New Roman" w:cs="Times New Roman"/>
          <w:sz w:val="28"/>
          <w:szCs w:val="28"/>
          <w:lang w:val="uk-UA"/>
        </w:rPr>
        <w:t>.</w:t>
      </w:r>
      <w:r w:rsidRPr="00FF6144">
        <w:rPr>
          <w:rFonts w:ascii="Times New Roman" w:hAnsi="Times New Roman" w:cs="Times New Roman"/>
          <w:sz w:val="28"/>
          <w:szCs w:val="28"/>
        </w:rPr>
        <w:t>50]</w:t>
      </w:r>
    </w:p>
    <w:p w:rsidR="00A72679" w:rsidRDefault="00A72679" w:rsidP="00F5210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Гарантуючи судовий захист прав і свобод фізичних та юридичних осіб </w:t>
      </w:r>
      <w:r w:rsidRPr="001F21A0">
        <w:rPr>
          <w:rFonts w:ascii="Times New Roman" w:hAnsi="Times New Roman" w:cs="Times New Roman"/>
          <w:sz w:val="28"/>
          <w:szCs w:val="28"/>
          <w:lang w:val="uk-UA"/>
        </w:rPr>
        <w:t>[</w:t>
      </w:r>
      <w:r>
        <w:rPr>
          <w:rFonts w:ascii="Times New Roman" w:hAnsi="Times New Roman" w:cs="Times New Roman"/>
          <w:sz w:val="28"/>
          <w:szCs w:val="28"/>
          <w:lang w:val="uk-UA"/>
        </w:rPr>
        <w:t>1, ст. 55</w:t>
      </w:r>
      <w:r w:rsidRPr="001F21A0">
        <w:rPr>
          <w:rFonts w:ascii="Times New Roman" w:hAnsi="Times New Roman" w:cs="Times New Roman"/>
          <w:sz w:val="28"/>
          <w:szCs w:val="28"/>
          <w:lang w:val="uk-UA"/>
        </w:rPr>
        <w:t>]</w:t>
      </w:r>
      <w:r>
        <w:rPr>
          <w:rFonts w:ascii="Times New Roman" w:hAnsi="Times New Roman" w:cs="Times New Roman"/>
          <w:sz w:val="28"/>
          <w:szCs w:val="28"/>
          <w:lang w:val="uk-UA"/>
        </w:rPr>
        <w:t>, Конституція України одночасно закріплює право кожного захищати свої права і свободи від порушень та протиправних посягань будь-якими не забороненими законом засобами. До таких засобів, які є загальновизнаними у світовому співтоваристві, належить звернення до третейського суду-міжнародного комерційного арбітражу або третейського суду, що розглядає внутрішні спори.</w:t>
      </w:r>
    </w:p>
    <w:p w:rsidR="00A72679" w:rsidRDefault="00A72679" w:rsidP="00E70C75">
      <w:pPr>
        <w:spacing w:after="0" w:line="360" w:lineRule="auto"/>
        <w:ind w:firstLine="709"/>
        <w:jc w:val="both"/>
        <w:rPr>
          <w:rFonts w:ascii="Times New Roman" w:hAnsi="Times New Roman" w:cs="Times New Roman"/>
          <w:sz w:val="28"/>
          <w:szCs w:val="28"/>
          <w:lang w:val="uk-UA"/>
        </w:rPr>
      </w:pPr>
      <w:r w:rsidRPr="00FF6144">
        <w:rPr>
          <w:rFonts w:ascii="Times New Roman" w:hAnsi="Times New Roman" w:cs="Times New Roman"/>
          <w:sz w:val="28"/>
          <w:szCs w:val="28"/>
          <w:lang w:val="uk-UA"/>
        </w:rPr>
        <w:t xml:space="preserve">Правосуддя в Україні є важливим компонентом процесу демократизації суспільства. Воно має на меті вирішення спорів між сторонами і, шляхом прийняття рішень, виконання як «нормативної», так і «просвітницької» ролі, надаючи громадянам відповідні настанови, інформацію та запевнення щодо права його практичного застосування. [4, с.93] </w:t>
      </w:r>
    </w:p>
    <w:p w:rsidR="00A72679" w:rsidRDefault="00A72679" w:rsidP="007D2C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Законодавство України, надавши сторонам можливість обирати між зверненням до суду та альтернативними способами врегулювання спорів, наприклад звернення до третейського суду, фактично розширює можливість вирішення спорів у цій сфері та жодним чином не порушує конституційне право на судовий захист. Такий підхід також узгоджується з практикою Європейського суду з прав людини, відповідно до якої право розгляду спору винятково у межах третейського провадження  само по собі не є порушенням статті 6 Конвенції про захист прав людини і основоположних свобод, яка гарантує право на доступ до правосуддя  та публічний розгляд справи судом. Таким чином, стаття 6 Конвенції допускає відмову від розгляду спору у державному суді шляхом укладання третейської угоди, проте така угода має бути добровільною, недвозначною та її укладення має допускатися законодавством.</w:t>
      </w:r>
    </w:p>
    <w:p w:rsidR="00A72679" w:rsidRPr="001F21A0" w:rsidRDefault="00A72679" w:rsidP="00F5210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Фундаментальною гарантією захисту прав людини і громадянина була і залишається діяльність суду зі здійснення правосуддя, яке гарантується на справедливості та верховенстві права. Соціологія права </w:t>
      </w:r>
      <w:r w:rsidRPr="001F21A0">
        <w:rPr>
          <w:rFonts w:ascii="Times New Roman" w:hAnsi="Times New Roman" w:cs="Times New Roman"/>
          <w:sz w:val="28"/>
          <w:szCs w:val="28"/>
          <w:lang w:val="uk-UA"/>
        </w:rPr>
        <w:t>[</w:t>
      </w:r>
      <w:r>
        <w:rPr>
          <w:rFonts w:ascii="Times New Roman" w:hAnsi="Times New Roman" w:cs="Times New Roman"/>
          <w:sz w:val="28"/>
          <w:szCs w:val="28"/>
          <w:lang w:val="uk-UA"/>
        </w:rPr>
        <w:t>7</w:t>
      </w:r>
      <w:r w:rsidRPr="001F21A0">
        <w:rPr>
          <w:rFonts w:ascii="Times New Roman" w:hAnsi="Times New Roman" w:cs="Times New Roman"/>
          <w:sz w:val="28"/>
          <w:szCs w:val="28"/>
          <w:lang w:val="uk-UA"/>
        </w:rPr>
        <w:t>]</w:t>
      </w:r>
      <w:r>
        <w:rPr>
          <w:rFonts w:ascii="Times New Roman" w:hAnsi="Times New Roman" w:cs="Times New Roman"/>
          <w:sz w:val="28"/>
          <w:szCs w:val="28"/>
          <w:lang w:val="uk-UA"/>
        </w:rPr>
        <w:t xml:space="preserve"> розглядає діяльність суду як специфічний, незамінний соціальний інститут і наділяє її суспільним сенсом. Тобто вся діяльність судів підпорядкована справі захисту прав і свобод людини. Це-вихідний принцип як стратегічного, так і поточного аспектів функціонування судової системи.</w:t>
      </w:r>
    </w:p>
    <w:p w:rsidR="00A72679" w:rsidRDefault="00A72679" w:rsidP="0017203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Судова система нашої держави з дня здобуття незалежності реформується майже безперервно. Реформаторські ініціативи завжди обґрунтовувались цілями та високими ідеалами, але на практиці мали здебільшого тимчасовий характер, ситуативний успіх. Це було спричинено багатьма чинниками. Окремі реформаторські ініціативи були політично забарвленими, інші-видавалися привабливими зовні, але на практиці спрацьовували в спотвореному вигляді. Тому, на сучасному етапі судової реформи, на мою думку, необхідно сконцентруватися на кінцевій меті, яка і задасть напрям, її темп, а також обумовить пошук оптимального набору засобів для досягнення цілі.</w:t>
      </w:r>
    </w:p>
    <w:p w:rsidR="00A72679" w:rsidRDefault="00A72679" w:rsidP="003743E5">
      <w:pPr>
        <w:spacing w:after="0" w:line="360" w:lineRule="auto"/>
        <w:ind w:firstLine="709"/>
        <w:jc w:val="both"/>
        <w:rPr>
          <w:rFonts w:ascii="Times New Roman" w:hAnsi="Times New Roman" w:cs="Times New Roman"/>
          <w:sz w:val="28"/>
          <w:szCs w:val="28"/>
          <w:lang w:val="uk-UA"/>
        </w:rPr>
      </w:pPr>
      <w:r w:rsidRPr="00FF6144">
        <w:rPr>
          <w:rFonts w:ascii="Times New Roman" w:hAnsi="Times New Roman" w:cs="Times New Roman"/>
          <w:sz w:val="28"/>
          <w:szCs w:val="28"/>
          <w:lang w:val="uk-UA"/>
        </w:rPr>
        <w:t xml:space="preserve">Для національних судів практика Європейського суду з прав людини та у відповідних випадках Суду Європейських спільнот </w:t>
      </w:r>
      <w:r>
        <w:rPr>
          <w:rFonts w:ascii="Times New Roman" w:hAnsi="Times New Roman" w:cs="Times New Roman"/>
          <w:sz w:val="28"/>
          <w:szCs w:val="28"/>
          <w:lang w:val="uk-UA"/>
        </w:rPr>
        <w:t>стає</w:t>
      </w:r>
      <w:r w:rsidRPr="00FF6144">
        <w:rPr>
          <w:rFonts w:ascii="Times New Roman" w:hAnsi="Times New Roman" w:cs="Times New Roman"/>
          <w:sz w:val="28"/>
          <w:szCs w:val="28"/>
          <w:lang w:val="uk-UA"/>
        </w:rPr>
        <w:t xml:space="preserve"> джерелом права в процесі розвитку європейського права, тому діалог між судовими інстанціями України та європейськими судами є необхідним, як і співпраця суддів різного рівня між собою. [4, с.462] Незалежно від розмаїття національних інституційних систем та проблем, які постають у певних країнах, підготовка суддів повинна розглядатися як необхідний елемент з огляду на потребу  вдосконалення  не тільки професійних навичок тих, хто належить до судової публічної служби, але й самого функціонування цієї служби.</w:t>
      </w:r>
    </w:p>
    <w:p w:rsidR="00A72679" w:rsidRPr="00FF6144" w:rsidRDefault="00A72679" w:rsidP="00F52108">
      <w:pPr>
        <w:spacing w:after="0" w:line="360" w:lineRule="auto"/>
        <w:ind w:firstLine="709"/>
        <w:jc w:val="both"/>
        <w:rPr>
          <w:rFonts w:ascii="Times New Roman" w:hAnsi="Times New Roman" w:cs="Times New Roman"/>
          <w:sz w:val="28"/>
          <w:szCs w:val="28"/>
          <w:lang w:val="uk-UA"/>
        </w:rPr>
      </w:pPr>
      <w:r w:rsidRPr="00FF6144">
        <w:rPr>
          <w:rFonts w:ascii="Times New Roman" w:hAnsi="Times New Roman" w:cs="Times New Roman"/>
          <w:sz w:val="28"/>
          <w:szCs w:val="28"/>
          <w:lang w:val="uk-UA"/>
        </w:rPr>
        <w:t>Незалежність судової влади, як одна з основних її характеристик, наділяє суддів всіх рівнів та юрисдикцій правами, але також покладає на них певні обов’язки, провідне місце серед яких займає обов’язок виконувати функції судді професійно і передбачають наявність високої професійної кваліфікації. Важливо, щоб судді, відібрані після здобуття повної юридичної освіти, отримали детальну, глибоку та всебічну підготовку, щоб мати можливість виконувати свої обов’язки належним чином. Ця підготовка є гарантією їхньої незалежності та неупередженості згідно з вимогами Європейської конвенції з прав людини.[2, с.199]</w:t>
      </w:r>
    </w:p>
    <w:p w:rsidR="00A72679" w:rsidRPr="00FF6144" w:rsidRDefault="00A72679" w:rsidP="003743E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Україні сучасний етап судової реформи-це слушний час узяти на озброєння зазначені критерії та звернути увагу на широкий спектр новацій, упровадження яких може допомогти у досягненні мети реформування правової системи судоустрою. З</w:t>
      </w:r>
      <w:r w:rsidRPr="00FF6144">
        <w:rPr>
          <w:rFonts w:ascii="Times New Roman" w:hAnsi="Times New Roman" w:cs="Times New Roman"/>
          <w:sz w:val="28"/>
          <w:szCs w:val="28"/>
          <w:lang w:val="uk-UA"/>
        </w:rPr>
        <w:t>астосування країною міжнародних та європейських стандартів залежить значною мірою від статусу стандартів</w:t>
      </w:r>
      <w:r>
        <w:rPr>
          <w:rFonts w:ascii="Times New Roman" w:hAnsi="Times New Roman" w:cs="Times New Roman"/>
          <w:sz w:val="28"/>
          <w:szCs w:val="28"/>
          <w:lang w:val="uk-UA"/>
        </w:rPr>
        <w:t xml:space="preserve">, які склалися у національному праві, з урахуванням новітніх правових перетворень. </w:t>
      </w:r>
      <w:r w:rsidRPr="00FF6144">
        <w:rPr>
          <w:rFonts w:ascii="Times New Roman" w:hAnsi="Times New Roman" w:cs="Times New Roman"/>
          <w:sz w:val="28"/>
          <w:szCs w:val="28"/>
          <w:lang w:val="uk-UA"/>
        </w:rPr>
        <w:t xml:space="preserve"> </w:t>
      </w:r>
    </w:p>
    <w:p w:rsidR="00A72679" w:rsidRPr="00825330" w:rsidRDefault="00A72679" w:rsidP="004451E4">
      <w:pPr>
        <w:spacing w:after="0" w:line="360" w:lineRule="auto"/>
        <w:ind w:firstLine="426"/>
        <w:rPr>
          <w:rFonts w:ascii="Times New Roman" w:hAnsi="Times New Roman" w:cs="Times New Roman"/>
          <w:b/>
          <w:bCs/>
          <w:sz w:val="28"/>
          <w:szCs w:val="28"/>
          <w:lang w:val="uk-UA"/>
        </w:rPr>
      </w:pPr>
      <w:r>
        <w:rPr>
          <w:rFonts w:ascii="Times New Roman" w:hAnsi="Times New Roman" w:cs="Times New Roman"/>
          <w:b/>
          <w:bCs/>
          <w:sz w:val="28"/>
          <w:szCs w:val="28"/>
          <w:lang w:val="uk-UA"/>
        </w:rPr>
        <w:t>Джерела</w:t>
      </w:r>
      <w:r w:rsidRPr="00825330">
        <w:rPr>
          <w:rFonts w:ascii="Times New Roman" w:hAnsi="Times New Roman" w:cs="Times New Roman"/>
          <w:b/>
          <w:bCs/>
          <w:sz w:val="28"/>
          <w:szCs w:val="28"/>
          <w:lang w:val="uk-UA"/>
        </w:rPr>
        <w:t>:</w:t>
      </w:r>
    </w:p>
    <w:p w:rsidR="00A72679" w:rsidRPr="00FF6144" w:rsidRDefault="00A72679" w:rsidP="00DD2912">
      <w:pPr>
        <w:pStyle w:val="EndnoteText"/>
        <w:numPr>
          <w:ilvl w:val="0"/>
          <w:numId w:val="1"/>
        </w:numPr>
        <w:spacing w:line="360" w:lineRule="auto"/>
        <w:jc w:val="both"/>
        <w:rPr>
          <w:rFonts w:ascii="Times New Roman" w:hAnsi="Times New Roman" w:cs="Times New Roman"/>
          <w:sz w:val="28"/>
          <w:szCs w:val="28"/>
        </w:rPr>
      </w:pPr>
      <w:r w:rsidRPr="00FF6144">
        <w:rPr>
          <w:rFonts w:ascii="Times New Roman" w:hAnsi="Times New Roman" w:cs="Times New Roman"/>
          <w:sz w:val="28"/>
          <w:szCs w:val="28"/>
        </w:rPr>
        <w:t xml:space="preserve">Конституція України від </w:t>
      </w:r>
      <w:r>
        <w:rPr>
          <w:rFonts w:ascii="Times New Roman" w:hAnsi="Times New Roman" w:cs="Times New Roman"/>
          <w:sz w:val="28"/>
          <w:szCs w:val="28"/>
        </w:rPr>
        <w:t>28 червня 1996 року №254к/96-ВР//</w:t>
      </w:r>
      <w:r w:rsidRPr="00FF6144">
        <w:rPr>
          <w:rFonts w:ascii="Times New Roman" w:hAnsi="Times New Roman" w:cs="Times New Roman"/>
          <w:sz w:val="28"/>
          <w:szCs w:val="28"/>
        </w:rPr>
        <w:t>Відомості Верховної Ради</w:t>
      </w:r>
      <w:r>
        <w:rPr>
          <w:rFonts w:ascii="Times New Roman" w:hAnsi="Times New Roman" w:cs="Times New Roman"/>
          <w:sz w:val="28"/>
          <w:szCs w:val="28"/>
        </w:rPr>
        <w:t xml:space="preserve"> України, 1996, №30.</w:t>
      </w:r>
    </w:p>
    <w:p w:rsidR="00A72679" w:rsidRPr="00FF6144" w:rsidRDefault="00A72679" w:rsidP="00DD2912">
      <w:pPr>
        <w:pStyle w:val="EndnoteText"/>
        <w:numPr>
          <w:ilvl w:val="0"/>
          <w:numId w:val="1"/>
        </w:numPr>
        <w:spacing w:line="360" w:lineRule="auto"/>
        <w:jc w:val="both"/>
        <w:rPr>
          <w:rFonts w:ascii="Times New Roman" w:hAnsi="Times New Roman" w:cs="Times New Roman"/>
          <w:sz w:val="28"/>
          <w:szCs w:val="28"/>
        </w:rPr>
      </w:pPr>
      <w:r w:rsidRPr="00FF6144">
        <w:rPr>
          <w:rFonts w:ascii="Times New Roman" w:hAnsi="Times New Roman" w:cs="Times New Roman"/>
          <w:sz w:val="28"/>
          <w:szCs w:val="28"/>
        </w:rPr>
        <w:t>«Документи Консультативної ради європейських судів»:[офіц. вид.]/упоряд. А.О.Кавакін. - К.: Ін Юре, 2015.-772с.</w:t>
      </w:r>
    </w:p>
    <w:p w:rsidR="00A72679" w:rsidRPr="00FF6144" w:rsidRDefault="00A72679" w:rsidP="00DD2912">
      <w:pPr>
        <w:pStyle w:val="EndnoteText"/>
        <w:numPr>
          <w:ilvl w:val="0"/>
          <w:numId w:val="1"/>
        </w:numPr>
        <w:spacing w:line="360" w:lineRule="auto"/>
        <w:jc w:val="both"/>
        <w:rPr>
          <w:rFonts w:ascii="Times New Roman" w:hAnsi="Times New Roman" w:cs="Times New Roman"/>
          <w:sz w:val="28"/>
          <w:szCs w:val="28"/>
        </w:rPr>
      </w:pPr>
      <w:r w:rsidRPr="00FF6144">
        <w:rPr>
          <w:rFonts w:ascii="Times New Roman" w:hAnsi="Times New Roman" w:cs="Times New Roman"/>
          <w:sz w:val="28"/>
          <w:szCs w:val="28"/>
        </w:rPr>
        <w:t>Закон України «Про Уповноваженого Верховної ради з прав людини» від 23.12.1997р. №776/97-ВР// Відомості Верховної Ради</w:t>
      </w:r>
      <w:r>
        <w:rPr>
          <w:rFonts w:ascii="Times New Roman" w:hAnsi="Times New Roman" w:cs="Times New Roman"/>
          <w:sz w:val="28"/>
          <w:szCs w:val="28"/>
        </w:rPr>
        <w:t xml:space="preserve"> України</w:t>
      </w:r>
      <w:r w:rsidRPr="00FF6144">
        <w:rPr>
          <w:rFonts w:ascii="Times New Roman" w:hAnsi="Times New Roman" w:cs="Times New Roman"/>
          <w:sz w:val="28"/>
          <w:szCs w:val="28"/>
        </w:rPr>
        <w:t>, 1998р.-№20.</w:t>
      </w:r>
    </w:p>
    <w:p w:rsidR="00A72679" w:rsidRPr="00FF6144" w:rsidRDefault="00A72679" w:rsidP="00DD2912">
      <w:pPr>
        <w:pStyle w:val="EndnoteText"/>
        <w:numPr>
          <w:ilvl w:val="0"/>
          <w:numId w:val="1"/>
        </w:numPr>
        <w:spacing w:line="360" w:lineRule="auto"/>
        <w:jc w:val="both"/>
        <w:rPr>
          <w:rFonts w:ascii="Times New Roman" w:hAnsi="Times New Roman" w:cs="Times New Roman"/>
          <w:sz w:val="28"/>
          <w:szCs w:val="28"/>
        </w:rPr>
      </w:pPr>
      <w:r w:rsidRPr="00FF6144">
        <w:rPr>
          <w:rFonts w:ascii="Times New Roman" w:hAnsi="Times New Roman" w:cs="Times New Roman"/>
          <w:sz w:val="28"/>
          <w:szCs w:val="28"/>
        </w:rPr>
        <w:t>Міжнародні стан</w:t>
      </w:r>
      <w:r>
        <w:rPr>
          <w:rFonts w:ascii="Times New Roman" w:hAnsi="Times New Roman" w:cs="Times New Roman"/>
          <w:sz w:val="28"/>
          <w:szCs w:val="28"/>
        </w:rPr>
        <w:t>дарти у сфері судочинства.-К.: І</w:t>
      </w:r>
      <w:r w:rsidRPr="00FF6144">
        <w:rPr>
          <w:rFonts w:ascii="Times New Roman" w:hAnsi="Times New Roman" w:cs="Times New Roman"/>
          <w:sz w:val="28"/>
          <w:szCs w:val="28"/>
        </w:rPr>
        <w:t>стина, 2010.-488с.</w:t>
      </w:r>
    </w:p>
    <w:p w:rsidR="00A72679" w:rsidRPr="00FF6144" w:rsidRDefault="00A72679" w:rsidP="00DD2912">
      <w:pPr>
        <w:pStyle w:val="ListParagraph"/>
        <w:numPr>
          <w:ilvl w:val="0"/>
          <w:numId w:val="1"/>
        </w:numPr>
        <w:spacing w:after="0" w:line="360" w:lineRule="auto"/>
        <w:jc w:val="both"/>
        <w:rPr>
          <w:rFonts w:ascii="Times New Roman" w:hAnsi="Times New Roman" w:cs="Times New Roman"/>
          <w:sz w:val="28"/>
          <w:szCs w:val="28"/>
          <w:lang w:val="uk-UA"/>
        </w:rPr>
      </w:pPr>
      <w:r w:rsidRPr="00FF6144">
        <w:rPr>
          <w:rFonts w:ascii="Times New Roman" w:hAnsi="Times New Roman" w:cs="Times New Roman"/>
          <w:sz w:val="28"/>
          <w:szCs w:val="28"/>
          <w:lang w:val="uk-UA"/>
        </w:rPr>
        <w:t>Висновки та рекомендації з актуальної теми.//Право України.-2016.-№2.- С.87-88.</w:t>
      </w:r>
    </w:p>
    <w:p w:rsidR="00A72679" w:rsidRDefault="00A72679" w:rsidP="00DD2912">
      <w:pPr>
        <w:pStyle w:val="EndnoteText"/>
        <w:numPr>
          <w:ilvl w:val="0"/>
          <w:numId w:val="1"/>
        </w:numPr>
        <w:spacing w:line="360" w:lineRule="auto"/>
        <w:jc w:val="both"/>
        <w:rPr>
          <w:rFonts w:ascii="Times New Roman" w:hAnsi="Times New Roman" w:cs="Times New Roman"/>
          <w:sz w:val="28"/>
          <w:szCs w:val="28"/>
        </w:rPr>
      </w:pPr>
      <w:r w:rsidRPr="00FF6144">
        <w:rPr>
          <w:rFonts w:ascii="Times New Roman" w:hAnsi="Times New Roman" w:cs="Times New Roman"/>
          <w:sz w:val="28"/>
          <w:szCs w:val="28"/>
        </w:rPr>
        <w:t>Давиденко Є. «Служба омбудсмена  в Україні»//Право України, 2001-№6.С.132-134.</w:t>
      </w:r>
    </w:p>
    <w:p w:rsidR="00A72679" w:rsidRPr="00FF6144" w:rsidRDefault="00A72679" w:rsidP="00DD2912">
      <w:pPr>
        <w:pStyle w:val="EndnoteText"/>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Соціологія права. Підруник/За заг.ред. Л.М.Гераскіної, М.І.Панова.-К.,2003.-262с.</w:t>
      </w:r>
    </w:p>
    <w:p w:rsidR="00A72679" w:rsidRPr="00FF6144" w:rsidRDefault="00A72679" w:rsidP="00E7039A">
      <w:pPr>
        <w:spacing w:after="0" w:line="240" w:lineRule="auto"/>
        <w:ind w:firstLine="426"/>
        <w:jc w:val="both"/>
        <w:rPr>
          <w:rFonts w:ascii="Times New Roman" w:hAnsi="Times New Roman" w:cs="Times New Roman"/>
          <w:sz w:val="28"/>
          <w:szCs w:val="28"/>
          <w:lang w:val="uk-UA"/>
        </w:rPr>
      </w:pPr>
    </w:p>
    <w:p w:rsidR="00A72679" w:rsidRDefault="00A72679" w:rsidP="00DD2912">
      <w:pPr>
        <w:tabs>
          <w:tab w:val="left" w:pos="720"/>
        </w:tabs>
        <w:spacing w:after="0" w:line="360" w:lineRule="auto"/>
        <w:ind w:firstLine="709"/>
        <w:jc w:val="right"/>
        <w:rPr>
          <w:rFonts w:ascii="Times New Roman" w:hAnsi="Times New Roman" w:cs="Times New Roman"/>
          <w:b/>
          <w:bCs/>
          <w:sz w:val="28"/>
          <w:szCs w:val="28"/>
          <w:lang w:val="uk-UA"/>
        </w:rPr>
      </w:pPr>
      <w:r w:rsidRPr="00DD2912">
        <w:rPr>
          <w:rFonts w:ascii="Times New Roman" w:hAnsi="Times New Roman" w:cs="Times New Roman"/>
          <w:b/>
          <w:bCs/>
          <w:sz w:val="28"/>
          <w:szCs w:val="28"/>
          <w:lang w:val="uk-UA"/>
        </w:rPr>
        <w:t>Науковий керівник:</w:t>
      </w:r>
    </w:p>
    <w:p w:rsidR="00A72679" w:rsidRPr="00DD2912" w:rsidRDefault="00A72679" w:rsidP="00DD2912">
      <w:pPr>
        <w:tabs>
          <w:tab w:val="left" w:pos="720"/>
        </w:tabs>
        <w:spacing w:after="0" w:line="360" w:lineRule="auto"/>
        <w:ind w:firstLine="709"/>
        <w:jc w:val="right"/>
        <w:rPr>
          <w:rFonts w:ascii="Times New Roman" w:hAnsi="Times New Roman" w:cs="Times New Roman"/>
          <w:sz w:val="28"/>
          <w:szCs w:val="28"/>
          <w:lang w:val="uk-UA"/>
        </w:rPr>
      </w:pPr>
      <w:r w:rsidRPr="00DD2912">
        <w:rPr>
          <w:rFonts w:ascii="Times New Roman" w:hAnsi="Times New Roman" w:cs="Times New Roman"/>
          <w:b/>
          <w:bCs/>
          <w:sz w:val="28"/>
          <w:szCs w:val="28"/>
          <w:lang w:val="uk-UA"/>
        </w:rPr>
        <w:t xml:space="preserve"> </w:t>
      </w:r>
      <w:r w:rsidRPr="00DD2912">
        <w:rPr>
          <w:rFonts w:ascii="Times New Roman" w:hAnsi="Times New Roman" w:cs="Times New Roman"/>
          <w:sz w:val="28"/>
          <w:szCs w:val="28"/>
          <w:lang w:val="uk-UA"/>
        </w:rPr>
        <w:t>викладач, Глемботцька Олеся Павлівна.</w:t>
      </w:r>
    </w:p>
    <w:p w:rsidR="00A72679" w:rsidRPr="00DD2912" w:rsidRDefault="00A72679" w:rsidP="00E7039A">
      <w:pPr>
        <w:spacing w:after="0" w:line="240" w:lineRule="auto"/>
        <w:ind w:firstLine="426"/>
        <w:jc w:val="both"/>
        <w:rPr>
          <w:rFonts w:ascii="Times New Roman" w:hAnsi="Times New Roman" w:cs="Times New Roman"/>
          <w:sz w:val="28"/>
          <w:szCs w:val="28"/>
          <w:lang w:val="uk-UA"/>
        </w:rPr>
      </w:pPr>
    </w:p>
    <w:sectPr w:rsidR="00A72679" w:rsidRPr="00DD2912" w:rsidSect="003743E5">
      <w:pgSz w:w="11906" w:h="16838"/>
      <w:pgMar w:top="1134" w:right="707" w:bottom="85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C0852"/>
    <w:multiLevelType w:val="hybridMultilevel"/>
    <w:tmpl w:val="3D868770"/>
    <w:lvl w:ilvl="0" w:tplc="B12A13D6">
      <w:start w:val="1"/>
      <w:numFmt w:val="decimal"/>
      <w:lvlText w:val="%1."/>
      <w:lvlJc w:val="left"/>
      <w:pPr>
        <w:ind w:left="786" w:hanging="360"/>
      </w:pPr>
      <w:rPr>
        <w:rFonts w:cs="Times New Roman" w:hint="default"/>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1">
    <w:nsid w:val="6DC16275"/>
    <w:multiLevelType w:val="singleLevel"/>
    <w:tmpl w:val="0419000F"/>
    <w:lvl w:ilvl="0">
      <w:start w:val="1"/>
      <w:numFmt w:val="decimal"/>
      <w:lvlText w:val="%1."/>
      <w:lvlJc w:val="left"/>
      <w:pPr>
        <w:tabs>
          <w:tab w:val="num" w:pos="720"/>
        </w:tabs>
        <w:ind w:left="720" w:hanging="36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425C"/>
    <w:rsid w:val="000025DD"/>
    <w:rsid w:val="00004F2B"/>
    <w:rsid w:val="00005107"/>
    <w:rsid w:val="000625E9"/>
    <w:rsid w:val="000B17C3"/>
    <w:rsid w:val="001041D6"/>
    <w:rsid w:val="00163DB9"/>
    <w:rsid w:val="0017203E"/>
    <w:rsid w:val="001F21A0"/>
    <w:rsid w:val="0021211A"/>
    <w:rsid w:val="0022579C"/>
    <w:rsid w:val="0025554F"/>
    <w:rsid w:val="002765EE"/>
    <w:rsid w:val="00297FD6"/>
    <w:rsid w:val="002A00C7"/>
    <w:rsid w:val="002D0CFF"/>
    <w:rsid w:val="003122AD"/>
    <w:rsid w:val="003743E5"/>
    <w:rsid w:val="00392183"/>
    <w:rsid w:val="003B0298"/>
    <w:rsid w:val="003B181F"/>
    <w:rsid w:val="004444B0"/>
    <w:rsid w:val="004451E4"/>
    <w:rsid w:val="00452996"/>
    <w:rsid w:val="004B0692"/>
    <w:rsid w:val="004B6271"/>
    <w:rsid w:val="004E042C"/>
    <w:rsid w:val="0054468B"/>
    <w:rsid w:val="00622AA7"/>
    <w:rsid w:val="00630F14"/>
    <w:rsid w:val="006659F2"/>
    <w:rsid w:val="00675F81"/>
    <w:rsid w:val="00693E81"/>
    <w:rsid w:val="006B739D"/>
    <w:rsid w:val="006D37FC"/>
    <w:rsid w:val="0071286B"/>
    <w:rsid w:val="00714C39"/>
    <w:rsid w:val="007A696C"/>
    <w:rsid w:val="007C2503"/>
    <w:rsid w:val="007D0786"/>
    <w:rsid w:val="007D1A36"/>
    <w:rsid w:val="007D2C4C"/>
    <w:rsid w:val="008067DD"/>
    <w:rsid w:val="00814B78"/>
    <w:rsid w:val="00825330"/>
    <w:rsid w:val="0086514F"/>
    <w:rsid w:val="00873077"/>
    <w:rsid w:val="008A0BEA"/>
    <w:rsid w:val="008A19A6"/>
    <w:rsid w:val="008D0042"/>
    <w:rsid w:val="00930D81"/>
    <w:rsid w:val="00954A08"/>
    <w:rsid w:val="0096422A"/>
    <w:rsid w:val="009A0E04"/>
    <w:rsid w:val="00A43D17"/>
    <w:rsid w:val="00A72679"/>
    <w:rsid w:val="00A86C6C"/>
    <w:rsid w:val="00AB08DE"/>
    <w:rsid w:val="00AD7B3E"/>
    <w:rsid w:val="00AE168F"/>
    <w:rsid w:val="00AE44C3"/>
    <w:rsid w:val="00B03BC9"/>
    <w:rsid w:val="00B06E63"/>
    <w:rsid w:val="00B7384A"/>
    <w:rsid w:val="00B93BFF"/>
    <w:rsid w:val="00BA244E"/>
    <w:rsid w:val="00C24785"/>
    <w:rsid w:val="00C50DD5"/>
    <w:rsid w:val="00C96177"/>
    <w:rsid w:val="00CA2DD4"/>
    <w:rsid w:val="00D11630"/>
    <w:rsid w:val="00D2208F"/>
    <w:rsid w:val="00D36EA1"/>
    <w:rsid w:val="00D7425C"/>
    <w:rsid w:val="00DD2912"/>
    <w:rsid w:val="00E16170"/>
    <w:rsid w:val="00E7039A"/>
    <w:rsid w:val="00E70C75"/>
    <w:rsid w:val="00E960A3"/>
    <w:rsid w:val="00F3357C"/>
    <w:rsid w:val="00F52108"/>
    <w:rsid w:val="00F67089"/>
    <w:rsid w:val="00FA5474"/>
    <w:rsid w:val="00FC44F6"/>
    <w:rsid w:val="00FF614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tex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81F"/>
    <w:pPr>
      <w:spacing w:after="200" w:line="276" w:lineRule="auto"/>
    </w:pPr>
    <w:rPr>
      <w:rFonts w:cs="Calibri"/>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C44F6"/>
    <w:pPr>
      <w:ind w:left="720"/>
    </w:pPr>
  </w:style>
  <w:style w:type="paragraph" w:styleId="EndnoteText">
    <w:name w:val="endnote text"/>
    <w:basedOn w:val="Normal"/>
    <w:link w:val="EndnoteTextChar"/>
    <w:uiPriority w:val="99"/>
    <w:semiHidden/>
    <w:rsid w:val="00AD7B3E"/>
    <w:pPr>
      <w:spacing w:after="0" w:line="240" w:lineRule="auto"/>
    </w:pPr>
    <w:rPr>
      <w:rFonts w:ascii="Arial" w:hAnsi="Arial" w:cs="Arial"/>
      <w:sz w:val="20"/>
      <w:szCs w:val="20"/>
      <w:lang w:val="uk-UA"/>
    </w:rPr>
  </w:style>
  <w:style w:type="character" w:customStyle="1" w:styleId="EndnoteTextChar">
    <w:name w:val="Endnote Text Char"/>
    <w:basedOn w:val="DefaultParagraphFont"/>
    <w:link w:val="EndnoteText"/>
    <w:uiPriority w:val="99"/>
    <w:locked/>
    <w:rsid w:val="00AD7B3E"/>
    <w:rPr>
      <w:rFonts w:ascii="Arial" w:hAnsi="Arial" w:cs="Arial"/>
      <w:sz w:val="20"/>
      <w:szCs w:val="20"/>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522</TotalTime>
  <Pages>5</Pages>
  <Words>6238</Words>
  <Characters>3556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Windows7</dc:creator>
  <cp:keywords/>
  <dc:description/>
  <cp:lastModifiedBy>Admin</cp:lastModifiedBy>
  <cp:revision>64</cp:revision>
  <dcterms:created xsi:type="dcterms:W3CDTF">2016-11-28T10:44:00Z</dcterms:created>
  <dcterms:modified xsi:type="dcterms:W3CDTF">2016-12-27T22:14:00Z</dcterms:modified>
</cp:coreProperties>
</file>