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2C" w:rsidRPr="002836A3" w:rsidRDefault="00F8372C" w:rsidP="002836A3">
      <w:pPr>
        <w:autoSpaceDE w:val="0"/>
        <w:autoSpaceDN w:val="0"/>
        <w:adjustRightInd w:val="0"/>
        <w:ind w:firstLine="709"/>
        <w:jc w:val="right"/>
        <w:rPr>
          <w:rFonts w:eastAsia="Times-Bold"/>
          <w:b/>
          <w:bCs/>
          <w:sz w:val="28"/>
          <w:szCs w:val="28"/>
        </w:rPr>
      </w:pPr>
      <w:r w:rsidRPr="002836A3">
        <w:rPr>
          <w:rFonts w:eastAsia="Times-Bold"/>
          <w:b/>
          <w:bCs/>
          <w:sz w:val="28"/>
          <w:szCs w:val="28"/>
        </w:rPr>
        <w:t>О.В.</w:t>
      </w:r>
      <w:r w:rsidRPr="002836A3">
        <w:rPr>
          <w:rFonts w:eastAsia="Times-Bold"/>
          <w:b/>
          <w:bCs/>
          <w:sz w:val="28"/>
          <w:szCs w:val="28"/>
          <w:lang w:val="uk-UA"/>
        </w:rPr>
        <w:t xml:space="preserve"> </w:t>
      </w:r>
      <w:r w:rsidRPr="002836A3">
        <w:rPr>
          <w:rFonts w:eastAsia="Times-Bold"/>
          <w:b/>
          <w:bCs/>
          <w:sz w:val="28"/>
          <w:szCs w:val="28"/>
        </w:rPr>
        <w:t>Калинчак</w:t>
      </w:r>
      <w:r w:rsidRPr="002836A3">
        <w:rPr>
          <w:rFonts w:eastAsia="Times-Bold"/>
          <w:b/>
          <w:bCs/>
          <w:sz w:val="28"/>
          <w:szCs w:val="28"/>
          <w:lang w:val="uk-UA"/>
        </w:rPr>
        <w:t xml:space="preserve">, </w:t>
      </w:r>
      <w:r w:rsidRPr="002836A3">
        <w:rPr>
          <w:rFonts w:eastAsia="Times-Bold"/>
          <w:b/>
          <w:bCs/>
          <w:sz w:val="28"/>
          <w:szCs w:val="28"/>
        </w:rPr>
        <w:t>Ю.В.</w:t>
      </w:r>
      <w:r w:rsidRPr="002836A3">
        <w:rPr>
          <w:rFonts w:eastAsia="Times-Bold"/>
          <w:b/>
          <w:bCs/>
          <w:sz w:val="28"/>
          <w:szCs w:val="28"/>
          <w:lang w:val="uk-UA"/>
        </w:rPr>
        <w:t xml:space="preserve"> </w:t>
      </w:r>
      <w:r w:rsidRPr="002836A3">
        <w:rPr>
          <w:rFonts w:eastAsia="Times-Bold"/>
          <w:b/>
          <w:bCs/>
          <w:sz w:val="28"/>
          <w:szCs w:val="28"/>
        </w:rPr>
        <w:t xml:space="preserve">Терешко </w:t>
      </w:r>
    </w:p>
    <w:p w:rsidR="00F8372C" w:rsidRPr="002836A3" w:rsidRDefault="00F8372C" w:rsidP="002836A3">
      <w:pPr>
        <w:autoSpaceDE w:val="0"/>
        <w:autoSpaceDN w:val="0"/>
        <w:adjustRightInd w:val="0"/>
        <w:jc w:val="right"/>
        <w:rPr>
          <w:rFonts w:eastAsia="Times-Bold"/>
          <w:b/>
          <w:bCs/>
          <w:sz w:val="28"/>
          <w:szCs w:val="28"/>
        </w:rPr>
      </w:pPr>
      <w:r w:rsidRPr="002836A3">
        <w:rPr>
          <w:rFonts w:eastAsia="Times-Bold"/>
          <w:b/>
          <w:bCs/>
          <w:sz w:val="28"/>
          <w:szCs w:val="28"/>
        </w:rPr>
        <w:t>А.В.</w:t>
      </w:r>
      <w:r w:rsidRPr="002836A3">
        <w:rPr>
          <w:rFonts w:eastAsia="Times-Bold"/>
          <w:b/>
          <w:bCs/>
          <w:sz w:val="28"/>
          <w:szCs w:val="28"/>
          <w:lang w:val="uk-UA"/>
        </w:rPr>
        <w:t xml:space="preserve"> </w:t>
      </w:r>
      <w:r w:rsidRPr="002836A3">
        <w:rPr>
          <w:rFonts w:eastAsia="Times-Bold"/>
          <w:b/>
          <w:bCs/>
          <w:sz w:val="28"/>
          <w:szCs w:val="28"/>
        </w:rPr>
        <w:t xml:space="preserve">Григоренко </w:t>
      </w:r>
    </w:p>
    <w:p w:rsidR="00F8372C" w:rsidRPr="002836A3" w:rsidRDefault="00F8372C" w:rsidP="007259D9">
      <w:pPr>
        <w:autoSpaceDE w:val="0"/>
        <w:autoSpaceDN w:val="0"/>
        <w:adjustRightInd w:val="0"/>
        <w:ind w:firstLine="709"/>
        <w:jc w:val="right"/>
        <w:rPr>
          <w:rFonts w:eastAsia="Times-Bold"/>
          <w:b/>
          <w:bCs/>
          <w:sz w:val="28"/>
          <w:szCs w:val="28"/>
        </w:rPr>
      </w:pPr>
      <w:r w:rsidRPr="002836A3">
        <w:rPr>
          <w:rFonts w:eastAsia="Times-Bold"/>
          <w:b/>
          <w:bCs/>
          <w:sz w:val="28"/>
          <w:szCs w:val="28"/>
        </w:rPr>
        <w:t>(Одесса, Украина)</w:t>
      </w:r>
    </w:p>
    <w:p w:rsidR="00F8372C" w:rsidRDefault="00F8372C" w:rsidP="004B0D43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eastAsia="Times-Bold"/>
          <w:b/>
          <w:bCs/>
          <w:sz w:val="28"/>
          <w:szCs w:val="28"/>
        </w:rPr>
      </w:pPr>
    </w:p>
    <w:p w:rsidR="00F8372C" w:rsidRDefault="00F8372C" w:rsidP="004B0D43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="Times-Bold"/>
          <w:b/>
          <w:bCs/>
          <w:sz w:val="28"/>
          <w:szCs w:val="28"/>
          <w:lang w:val="uk-UA"/>
        </w:rPr>
      </w:pPr>
      <w:r>
        <w:rPr>
          <w:rFonts w:eastAsia="Times-Bold"/>
          <w:b/>
          <w:bCs/>
          <w:sz w:val="28"/>
          <w:szCs w:val="28"/>
        </w:rPr>
        <w:t>РЕКОМЕНДАЦИИ ПО РАЗВИТИЮ РЫНКА ИНТЕРНЕТ-ПРОЕКТОВ В СОВРЕМЕННЫХ ЭКОНОМИЧЕСКИХ УСЛОВИЯХ</w:t>
      </w:r>
    </w:p>
    <w:p w:rsidR="00F8372C" w:rsidRPr="002836A3" w:rsidRDefault="00F8372C" w:rsidP="004B0D43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="Times-Bold"/>
          <w:b/>
          <w:bCs/>
          <w:sz w:val="28"/>
          <w:szCs w:val="28"/>
          <w:lang w:val="uk-UA"/>
        </w:rPr>
      </w:pPr>
    </w:p>
    <w:p w:rsidR="00F8372C" w:rsidRPr="00E2078F" w:rsidRDefault="00F8372C" w:rsidP="004B0D4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Теоретическое обобщение проблем инвестирования в инновационные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 xml:space="preserve">Интернет-проекты приобретает особое значение в условиях, когда Интернет-экономика становится значимой отраслью </w:t>
      </w:r>
      <w:r>
        <w:rPr>
          <w:rFonts w:eastAsia="Times-Roman"/>
          <w:sz w:val="28"/>
          <w:szCs w:val="28"/>
        </w:rPr>
        <w:t>украинской</w:t>
      </w:r>
      <w:r w:rsidRPr="00E2078F">
        <w:rPr>
          <w:rFonts w:eastAsia="Times-Roman"/>
          <w:sz w:val="28"/>
          <w:szCs w:val="28"/>
        </w:rPr>
        <w:t xml:space="preserve"> экономики 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определяется как приоритетно</w:t>
      </w:r>
      <w:r>
        <w:rPr>
          <w:rFonts w:eastAsia="Times-Roman"/>
          <w:sz w:val="28"/>
          <w:szCs w:val="28"/>
        </w:rPr>
        <w:t>е направление на национальном</w:t>
      </w:r>
      <w:r w:rsidRPr="00E2078F">
        <w:rPr>
          <w:rFonts w:eastAsia="Times-Roman"/>
          <w:sz w:val="28"/>
          <w:szCs w:val="28"/>
        </w:rPr>
        <w:t xml:space="preserve"> уровне.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Важную роль в обеспечении ряда новых тенденций в развитии Интернет-проектов играют государственные структуры. </w:t>
      </w:r>
      <w:r w:rsidRPr="00E2078F">
        <w:rPr>
          <w:rFonts w:eastAsia="Times-Roman"/>
          <w:sz w:val="28"/>
          <w:szCs w:val="28"/>
        </w:rPr>
        <w:t xml:space="preserve"> Данные выводы подтверждены и экспертами в </w:t>
      </w:r>
      <w:r>
        <w:rPr>
          <w:rFonts w:eastAsia="Times-Roman"/>
          <w:sz w:val="28"/>
          <w:szCs w:val="28"/>
        </w:rPr>
        <w:t>области</w:t>
      </w:r>
      <w:r>
        <w:rPr>
          <w:rFonts w:eastAsia="Times-Roman"/>
          <w:sz w:val="28"/>
          <w:szCs w:val="28"/>
          <w:lang w:val="uk-UA"/>
        </w:rPr>
        <w:t xml:space="preserve"> и</w:t>
      </w:r>
      <w:r w:rsidRPr="00E2078F">
        <w:rPr>
          <w:rFonts w:eastAsia="Times-Roman"/>
          <w:sz w:val="28"/>
          <w:szCs w:val="28"/>
        </w:rPr>
        <w:t>формационных технологий, в том числе членами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CA00DE">
        <w:rPr>
          <w:sz w:val="28"/>
          <w:szCs w:val="28"/>
        </w:rPr>
        <w:t>Ассоциации участников рынка беспроводных сетей передачи данных</w:t>
      </w:r>
      <w:r w:rsidRPr="00CA00DE">
        <w:rPr>
          <w:rFonts w:eastAsia="Times-Roman"/>
          <w:sz w:val="28"/>
          <w:szCs w:val="28"/>
        </w:rPr>
        <w:t xml:space="preserve"> (Wireless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CA00DE">
        <w:rPr>
          <w:rFonts w:eastAsia="Times-Roman"/>
          <w:sz w:val="28"/>
          <w:szCs w:val="28"/>
        </w:rPr>
        <w:t xml:space="preserve">Ukraine). </w:t>
      </w:r>
      <w:r w:rsidRPr="00E2078F">
        <w:rPr>
          <w:rFonts w:eastAsia="Times-Roman"/>
          <w:sz w:val="28"/>
          <w:szCs w:val="28"/>
        </w:rPr>
        <w:t xml:space="preserve"> Итак, тенденции следующие: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• Увеличился объем Интернет-экономики - до 1,5% общего объемаВВП, а также наблюдается стабильный рост всех секторов Интернет-рынкаболее 30% ежегодно, то есть Интернет становится серьезным сегментом</w:t>
      </w:r>
      <w:r>
        <w:rPr>
          <w:rFonts w:eastAsia="Times-Roman"/>
          <w:sz w:val="28"/>
          <w:szCs w:val="28"/>
          <w:lang w:val="uk-UA"/>
        </w:rPr>
        <w:t xml:space="preserve"> национальной </w:t>
      </w:r>
      <w:r w:rsidRPr="00E2078F">
        <w:rPr>
          <w:rFonts w:eastAsia="Times-Roman"/>
          <w:sz w:val="28"/>
          <w:szCs w:val="28"/>
        </w:rPr>
        <w:t>экономики, привлекая внимание органов государственной власти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[</w:t>
      </w:r>
      <w:r w:rsidRPr="004B0D43">
        <w:rPr>
          <w:rFonts w:eastAsia="Times-Roman"/>
          <w:sz w:val="28"/>
          <w:szCs w:val="28"/>
        </w:rPr>
        <w:t>1</w:t>
      </w:r>
      <w:r w:rsidRPr="00E2078F">
        <w:rPr>
          <w:rFonts w:eastAsia="Times-Roman"/>
          <w:sz w:val="28"/>
          <w:szCs w:val="28"/>
        </w:rPr>
        <w:t>].</w:t>
      </w:r>
    </w:p>
    <w:p w:rsidR="00F8372C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  <w:lang w:val="uk-UA"/>
        </w:rPr>
      </w:pPr>
      <w:r w:rsidRPr="00E2078F">
        <w:rPr>
          <w:rFonts w:eastAsia="Times-Roman"/>
          <w:sz w:val="28"/>
          <w:szCs w:val="28"/>
        </w:rPr>
        <w:t>• Ранее мнение экспертов было единогласно: государство не должно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вмешиваться в развитие саморегулируемого Интернет-рынка (субъекты рынка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самостоятельно определяют направления развития, методы деятельности нарынке и т. д.). На сегодняшний день, мнение изменилось: государство должно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помогать и способствовать эффективному становлению новых форм ведения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хозяйственной де</w:t>
      </w:r>
      <w:r>
        <w:rPr>
          <w:rFonts w:eastAsia="Times-Roman"/>
          <w:sz w:val="28"/>
          <w:szCs w:val="28"/>
        </w:rPr>
        <w:t xml:space="preserve">ятельности в Интернете. В </w:t>
      </w:r>
      <w:r>
        <w:rPr>
          <w:rFonts w:eastAsia="Times-Roman"/>
          <w:sz w:val="28"/>
          <w:szCs w:val="28"/>
          <w:lang w:val="uk-UA"/>
        </w:rPr>
        <w:t>Украине</w:t>
      </w:r>
      <w:r w:rsidRPr="00E2078F">
        <w:rPr>
          <w:rFonts w:eastAsia="Times-Roman"/>
          <w:sz w:val="28"/>
          <w:szCs w:val="28"/>
        </w:rPr>
        <w:t xml:space="preserve"> решение глобальных(инфраструктурных, законодательных) вопросов отдельными субъектами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Интернет-рынка невозможно.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• При обсуждении законодательных инициатив, связанных срегулированием Интернет-экономики, а также венчурного рынка, зачастую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игнорируется мнение экспертов из отрасли, решения принимаются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чиновниками, чья профессиональная деятельность далека от реалий рынка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Интернет-технологий. Более того, ряд инициатив может нанести значительный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урон рынку: ограничить деятельность субъектов рынка и появление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инновационных идей, препятствовать росту количества рабочих мест в отрасли,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сократить объем Интернет-рынка.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• Существующее грантовое финансирование инновационных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проектов в недостаточной степени покрывает потребность в капитале. Более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того, наблюдается перекос в сторону финансирования сектора радикальных</w:t>
      </w:r>
      <w:r>
        <w:rPr>
          <w:rFonts w:eastAsia="Times-Roman"/>
          <w:sz w:val="28"/>
          <w:szCs w:val="28"/>
          <w:lang w:val="uk-UA"/>
        </w:rPr>
        <w:t xml:space="preserve"> </w:t>
      </w:r>
      <w:r>
        <w:rPr>
          <w:rFonts w:eastAsia="Times-Roman"/>
          <w:sz w:val="28"/>
          <w:szCs w:val="28"/>
        </w:rPr>
        <w:t>инноваций «</w:t>
      </w:r>
      <w:r w:rsidRPr="00E2078F">
        <w:rPr>
          <w:rFonts w:eastAsia="Times-Roman"/>
          <w:sz w:val="28"/>
          <w:szCs w:val="28"/>
        </w:rPr>
        <w:t>за</w:t>
      </w:r>
      <w:r>
        <w:rPr>
          <w:rFonts w:eastAsia="Times-Roman"/>
          <w:sz w:val="28"/>
          <w:szCs w:val="28"/>
        </w:rPr>
        <w:t>втрашнего дня»</w:t>
      </w:r>
      <w:r w:rsidRPr="00E2078F">
        <w:rPr>
          <w:rFonts w:eastAsia="Times-Roman"/>
          <w:sz w:val="28"/>
          <w:szCs w:val="28"/>
        </w:rPr>
        <w:t xml:space="preserve"> (сложные технологические проекты,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биотехнологии, нанотехнологии, технологии в области энергетики и т. п.), при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этом более простые, но востребованные потребителями сегодня проекты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остаются без финансового обеспечения. В результате, развитие Интернет-экономики происходит недостаточно быстрыми темпами и поддерживается восновном коммерческими структурами.</w:t>
      </w:r>
    </w:p>
    <w:p w:rsidR="00F8372C" w:rsidRPr="0057229D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pacing w:val="-8"/>
          <w:sz w:val="28"/>
          <w:szCs w:val="28"/>
        </w:rPr>
      </w:pPr>
      <w:r>
        <w:rPr>
          <w:rFonts w:eastAsia="Times-Roman"/>
          <w:spacing w:val="-8"/>
          <w:sz w:val="28"/>
          <w:szCs w:val="28"/>
        </w:rPr>
        <w:t>В первом квартале 2017 года</w:t>
      </w:r>
      <w:r w:rsidRPr="0057229D">
        <w:rPr>
          <w:rFonts w:eastAsia="Times-Roman"/>
          <w:spacing w:val="-8"/>
          <w:sz w:val="28"/>
          <w:szCs w:val="28"/>
        </w:rPr>
        <w:t xml:space="preserve"> экспертами был согласован перечень стратегических</w:t>
      </w:r>
      <w:r>
        <w:rPr>
          <w:rFonts w:eastAsia="Times-Roman"/>
          <w:spacing w:val="-8"/>
          <w:sz w:val="28"/>
          <w:szCs w:val="28"/>
          <w:lang w:val="uk-UA"/>
        </w:rPr>
        <w:t xml:space="preserve"> </w:t>
      </w:r>
      <w:r w:rsidRPr="0057229D">
        <w:rPr>
          <w:rFonts w:eastAsia="Times-Roman"/>
          <w:spacing w:val="-8"/>
          <w:sz w:val="28"/>
          <w:szCs w:val="28"/>
        </w:rPr>
        <w:t>рекомендаций по развитию Интернет-экономики для органов государственной</w:t>
      </w:r>
      <w:r>
        <w:rPr>
          <w:rFonts w:eastAsia="Times-Roman"/>
          <w:spacing w:val="-8"/>
          <w:sz w:val="28"/>
          <w:szCs w:val="28"/>
          <w:lang w:val="uk-UA"/>
        </w:rPr>
        <w:t xml:space="preserve"> </w:t>
      </w:r>
      <w:r w:rsidRPr="0057229D">
        <w:rPr>
          <w:rFonts w:eastAsia="Times-Roman"/>
          <w:spacing w:val="-8"/>
          <w:sz w:val="28"/>
          <w:szCs w:val="28"/>
        </w:rPr>
        <w:t>власти: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1) совершенствование и гармонизация законодательства о персональных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данных, необходимых для совершения сделок в сети Интернет;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2) разработка проекта точечных изменений, призванных повысить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эффективность право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применения в борьбе с противоправным и вредным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контентом;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3) проведение информационной кампании о возможностях и уровне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безопасности Интернет-взаимодействий;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4) создание Центра компетенций - авторитетного образовательно-просветительского учреждения, разрабатывающего, поддерживающего 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развивающего профильные программы в образовательных учреждениях;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5) разработка и реализация целевой программы по повышению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медиаграмотности населения;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6) разработка и реализация долгосрочной стратегии государственной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политики в области интеллектуальной собственности, в том числе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законодательной реформы в области авторского и смежных прав;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7) стимулирование деятельности отдельных сегментов Интернет-экономики посредством привлечения государственных инвестиций и грантов,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реализации системы различных льгот, в том числе налоговых;</w:t>
      </w:r>
    </w:p>
    <w:p w:rsidR="00F8372C" w:rsidRDefault="00F8372C" w:rsidP="004A531F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8) разработка и реализация проекта изменений законодательства,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регулирующего работу федеральной почтовой системы, а так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же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стимулирование конкуренции на рынке услуг почтовой связи и логистических</w:t>
      </w:r>
      <w:r>
        <w:rPr>
          <w:rFonts w:eastAsia="Times-Roman"/>
          <w:sz w:val="28"/>
          <w:szCs w:val="28"/>
          <w:lang w:val="uk-UA"/>
        </w:rPr>
        <w:t xml:space="preserve"> </w:t>
      </w:r>
      <w:r>
        <w:rPr>
          <w:rFonts w:eastAsia="Times-Roman"/>
          <w:sz w:val="28"/>
          <w:szCs w:val="28"/>
        </w:rPr>
        <w:t>услуг [1</w:t>
      </w:r>
      <w:r w:rsidRPr="00E2078F">
        <w:rPr>
          <w:rFonts w:eastAsia="Times-Roman"/>
          <w:sz w:val="28"/>
          <w:szCs w:val="28"/>
        </w:rPr>
        <w:t>].</w:t>
      </w:r>
    </w:p>
    <w:p w:rsidR="00F8372C" w:rsidRDefault="00F8372C" w:rsidP="004A531F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Ряд рекомендаций касается, в первую очередь, экономической поддержки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молодых Интернет-компаний по наиболее приоритетным направлениям - как в</w:t>
      </w:r>
      <w:r>
        <w:rPr>
          <w:rFonts w:eastAsia="Times-Roman"/>
          <w:sz w:val="28"/>
          <w:szCs w:val="28"/>
          <w:lang w:val="uk-UA"/>
        </w:rPr>
        <w:t xml:space="preserve"> Киеве</w:t>
      </w:r>
      <w:r w:rsidRPr="00E2078F">
        <w:rPr>
          <w:rFonts w:eastAsia="Times-Roman"/>
          <w:sz w:val="28"/>
          <w:szCs w:val="28"/>
        </w:rPr>
        <w:t xml:space="preserve"> и крупных городах</w:t>
      </w:r>
      <w:r>
        <w:rPr>
          <w:rFonts w:eastAsia="Times-Roman"/>
          <w:sz w:val="28"/>
          <w:szCs w:val="28"/>
        </w:rPr>
        <w:t xml:space="preserve">, так и в других регионах </w:t>
      </w:r>
      <w:r>
        <w:rPr>
          <w:rFonts w:eastAsia="Times-Roman"/>
          <w:sz w:val="28"/>
          <w:szCs w:val="28"/>
          <w:lang w:val="uk-UA"/>
        </w:rPr>
        <w:t>Украин</w:t>
      </w:r>
      <w:r>
        <w:rPr>
          <w:rFonts w:eastAsia="Times-Roman"/>
          <w:sz w:val="28"/>
          <w:szCs w:val="28"/>
        </w:rPr>
        <w:t>ы</w:t>
      </w:r>
      <w:r w:rsidRPr="00E2078F">
        <w:rPr>
          <w:rFonts w:eastAsia="Times-Roman"/>
          <w:sz w:val="28"/>
          <w:szCs w:val="28"/>
        </w:rPr>
        <w:t xml:space="preserve">. 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Сравнительный анализ приведенных мероприятий позволяет сделать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следующие вывод</w:t>
      </w:r>
      <w:r>
        <w:rPr>
          <w:rFonts w:eastAsia="Times-Roman"/>
          <w:sz w:val="28"/>
          <w:szCs w:val="28"/>
        </w:rPr>
        <w:t>ы относительно ситуации в Украине</w:t>
      </w:r>
      <w:r w:rsidRPr="00E2078F">
        <w:rPr>
          <w:rFonts w:eastAsia="Times-Roman"/>
          <w:sz w:val="28"/>
          <w:szCs w:val="28"/>
        </w:rPr>
        <w:t>: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•Мероприятия в Украине</w:t>
      </w:r>
      <w:r w:rsidRPr="00E2078F">
        <w:rPr>
          <w:rFonts w:eastAsia="Times-Roman"/>
          <w:sz w:val="28"/>
          <w:szCs w:val="28"/>
        </w:rPr>
        <w:t xml:space="preserve"> направлены на поддержку инновационного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 xml:space="preserve">бизнеса </w:t>
      </w:r>
      <w:r>
        <w:rPr>
          <w:rFonts w:eastAsia="Times-Roman"/>
          <w:sz w:val="28"/>
          <w:szCs w:val="28"/>
          <w:lang w:val="uk-UA"/>
        </w:rPr>
        <w:t>«</w:t>
      </w:r>
      <w:r w:rsidRPr="00E2078F">
        <w:rPr>
          <w:rFonts w:eastAsia="Times-Roman"/>
          <w:sz w:val="28"/>
          <w:szCs w:val="28"/>
        </w:rPr>
        <w:t>завтрашнего дня</w:t>
      </w:r>
      <w:r>
        <w:rPr>
          <w:rFonts w:eastAsia="Times-Roman"/>
          <w:sz w:val="28"/>
          <w:szCs w:val="28"/>
          <w:lang w:val="uk-UA"/>
        </w:rPr>
        <w:t>»</w:t>
      </w:r>
      <w:r w:rsidRPr="00E2078F">
        <w:rPr>
          <w:rFonts w:eastAsia="Times-Roman"/>
          <w:sz w:val="28"/>
          <w:szCs w:val="28"/>
        </w:rPr>
        <w:t xml:space="preserve"> и развитие продуктов и технологий, спрос на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которые на данный момент не сформирован у широкой аудитории, но при этом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они содержат наукоемкую составляющую и в перспективе имеют шансы выйти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на глобальные рынки.</w:t>
      </w:r>
    </w:p>
    <w:p w:rsidR="00F8372C" w:rsidRPr="004A531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color w:val="FF0000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•Налоговые льготы недоступны большей части молодых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инновационных компаний. К примеру, около 93% компаний в сфере web-разработки имеют среднюю численность до 30 человек, а значит, не имеют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возможности воспользоваться предлагаемыми налоговыми льготами. Команды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стартапов, как правило, также редко превышают 10 человек на начальном этапе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 xml:space="preserve">развития </w:t>
      </w:r>
      <w:r w:rsidRPr="004B0D43">
        <w:rPr>
          <w:rFonts w:eastAsia="Times-Roman"/>
          <w:sz w:val="28"/>
          <w:szCs w:val="28"/>
        </w:rPr>
        <w:t>[1;2].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•Национальные </w:t>
      </w:r>
      <w:r w:rsidRPr="00E2078F">
        <w:rPr>
          <w:rFonts w:eastAsia="Times-Roman"/>
          <w:sz w:val="28"/>
          <w:szCs w:val="28"/>
        </w:rPr>
        <w:t xml:space="preserve"> программы по развитию предпринимательских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структур в значительной степени ориентированы на поддержку традиционных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отраслей. Инновационным проектам получить финансирование сложнее в силу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консервативности и низкого уровня информированности чиновников,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принимающих решения.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•Масштабные общегосударственные программы поддержки малого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инновационного предпринимательства отсутствуют, либо имеют локальный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характер.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Принимая во внимание сделанные выводы и обращаясь к образцам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стратегического развития предпринимательства в ведущих зарубежных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 xml:space="preserve">транах, считаем необходимым предложить </w:t>
      </w:r>
      <w:r w:rsidRPr="00E2078F">
        <w:rPr>
          <w:rFonts w:eastAsia="Times-Roman"/>
          <w:i/>
          <w:iCs/>
          <w:sz w:val="28"/>
          <w:szCs w:val="28"/>
        </w:rPr>
        <w:t>комплекс мероприятий,</w:t>
      </w:r>
      <w:r>
        <w:rPr>
          <w:rFonts w:eastAsia="Times-Roman"/>
          <w:i/>
          <w:iCs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рассчитанных на появление новых быстрорастущих бизнесов в Интернет-экономике, совершенствование их качества, создание новых рабочих мест,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развитие инновационной культуры, интереса к предпринимательской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деятельности и медиаграмотности населения.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i/>
          <w:iCs/>
          <w:sz w:val="28"/>
          <w:szCs w:val="28"/>
        </w:rPr>
      </w:pPr>
      <w:r w:rsidRPr="00E2078F">
        <w:rPr>
          <w:rFonts w:eastAsia="Times-Roman"/>
          <w:i/>
          <w:iCs/>
          <w:sz w:val="28"/>
          <w:szCs w:val="28"/>
        </w:rPr>
        <w:t>1. Мероприятия, направленные на поддержку существующих ИТ-компаний: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- предоставление налоговых льгот ИТ-компаниям, вне зависимости от средней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численности персонала;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- реализация программ долгового финансирования на льготных условиях для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организации стартап-проектов существующими ИТ-компаниями;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- содействие в создании отраслевых стандартов деятельности для ИТ-компаний.</w:t>
      </w:r>
    </w:p>
    <w:p w:rsidR="00F8372C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i/>
          <w:iCs/>
          <w:sz w:val="28"/>
          <w:szCs w:val="28"/>
        </w:rPr>
        <w:t xml:space="preserve">Обоснование: </w:t>
      </w:r>
      <w:r w:rsidRPr="00E2078F">
        <w:rPr>
          <w:rFonts w:eastAsia="Times-Roman"/>
          <w:sz w:val="28"/>
          <w:szCs w:val="28"/>
        </w:rPr>
        <w:t>Снижение налоговых ставок для небольших ИТ-компаний 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индивидуальных разработчиков будет способствовать легализации рынка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информационных технологий (в частности, рынка фрилансеров), появлению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новых рабочих мест, заинтересованности в переходе от индивидуальной к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коллективной деятельности, повышению ответственности, качества и скорости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 xml:space="preserve">реализации Интернет-проектов. 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i/>
          <w:iCs/>
          <w:sz w:val="28"/>
          <w:szCs w:val="28"/>
        </w:rPr>
      </w:pPr>
      <w:r w:rsidRPr="00E2078F">
        <w:rPr>
          <w:rFonts w:eastAsia="Times-Roman"/>
          <w:i/>
          <w:iCs/>
          <w:sz w:val="28"/>
          <w:szCs w:val="28"/>
        </w:rPr>
        <w:t>2. Мероприятия, направленные на создание новых ИТ-компаний и cmpaman-прое</w:t>
      </w:r>
      <w:r>
        <w:rPr>
          <w:rFonts w:eastAsia="Times-Roman"/>
          <w:i/>
          <w:iCs/>
          <w:sz w:val="28"/>
          <w:szCs w:val="28"/>
          <w:lang w:val="uk-UA"/>
        </w:rPr>
        <w:t>кт</w:t>
      </w:r>
      <w:r w:rsidRPr="00E2078F">
        <w:rPr>
          <w:rFonts w:eastAsia="Times-Roman"/>
          <w:i/>
          <w:iCs/>
          <w:sz w:val="28"/>
          <w:szCs w:val="28"/>
        </w:rPr>
        <w:t>ов: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- создание коворкинг-центров для ИТ-компаний, государственное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финансирование (в том числе частичное) работы в коворкинг-центрах на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начальном этапе жизни компании. Например, возмещение государством 100%(50%) от стоимости аренды мест в коворкинг-центре в течение 0,5 года (1 года)с основания компании, основной сферой деятельности которой является веб-разработка, создание инновационного ИТ-стартапа и т. д.;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- введение квот на Интернет-проекты при реализации программ содействия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развитию малого и среднего предпринимательства в регионах и на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федеральном уровне;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- грантовое финансирование Интернет-проектов, реализующих сегодняшние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потребности В2В и В2С сегментов рынка (создание масштабных отраслевых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проектов, совершенствование инструментов коммуникации, создание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инфраструктуры для Интернет-торговли и т. п.);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По данным проекта </w:t>
      </w:r>
      <w:r>
        <w:rPr>
          <w:rFonts w:eastAsia="Times-Roman"/>
          <w:sz w:val="28"/>
          <w:szCs w:val="28"/>
          <w:lang w:val="uk-UA"/>
        </w:rPr>
        <w:t>«</w:t>
      </w:r>
      <w:r>
        <w:rPr>
          <w:rFonts w:eastAsia="Times-Roman"/>
          <w:sz w:val="28"/>
          <w:szCs w:val="28"/>
        </w:rPr>
        <w:t>Рейтинг Аунета</w:t>
      </w:r>
      <w:r>
        <w:rPr>
          <w:rFonts w:eastAsia="Times-Roman"/>
          <w:sz w:val="28"/>
          <w:szCs w:val="28"/>
          <w:lang w:val="uk-UA"/>
        </w:rPr>
        <w:t>»</w:t>
      </w:r>
      <w:r>
        <w:rPr>
          <w:rFonts w:eastAsia="Times-Roman"/>
          <w:sz w:val="28"/>
          <w:szCs w:val="28"/>
        </w:rPr>
        <w:t xml:space="preserve"> (www.ratingаune</w:t>
      </w:r>
      <w:r>
        <w:rPr>
          <w:rFonts w:eastAsia="Times-Roman"/>
          <w:sz w:val="28"/>
          <w:szCs w:val="28"/>
          <w:lang w:val="en-US"/>
        </w:rPr>
        <w:t>t</w:t>
      </w:r>
      <w:r>
        <w:rPr>
          <w:rFonts w:eastAsia="Times-Roman"/>
          <w:sz w:val="28"/>
          <w:szCs w:val="28"/>
        </w:rPr>
        <w:t>a.</w:t>
      </w:r>
      <w:r w:rsidRPr="00E2078F">
        <w:rPr>
          <w:rFonts w:eastAsia="Times-Roman"/>
          <w:sz w:val="28"/>
          <w:szCs w:val="28"/>
        </w:rPr>
        <w:t>u</w:t>
      </w:r>
      <w:r>
        <w:rPr>
          <w:rFonts w:eastAsia="Times-Roman"/>
          <w:sz w:val="28"/>
          <w:szCs w:val="28"/>
          <w:lang w:val="en-US"/>
        </w:rPr>
        <w:t>a</w:t>
      </w:r>
      <w:r>
        <w:rPr>
          <w:rFonts w:eastAsia="Times-Roman"/>
          <w:sz w:val="28"/>
          <w:szCs w:val="28"/>
        </w:rPr>
        <w:t xml:space="preserve">') на начало </w:t>
      </w:r>
      <w:smartTag w:uri="urn:schemas-microsoft-com:office:smarttags" w:element="metricconverter">
        <w:smartTagPr>
          <w:attr w:name="ProductID" w:val="2017 г"/>
        </w:smartTagPr>
        <w:r>
          <w:rPr>
            <w:rFonts w:eastAsia="Times-Roman"/>
            <w:sz w:val="28"/>
            <w:szCs w:val="28"/>
          </w:rPr>
          <w:t>2017</w:t>
        </w:r>
        <w:r w:rsidRPr="00E2078F">
          <w:rPr>
            <w:rFonts w:eastAsia="Times-Roman"/>
            <w:sz w:val="28"/>
            <w:szCs w:val="28"/>
          </w:rPr>
          <w:t xml:space="preserve"> г</w:t>
        </w:r>
      </w:smartTag>
      <w:r w:rsidRPr="00E2078F">
        <w:rPr>
          <w:rFonts w:eastAsia="Times-Roman"/>
          <w:sz w:val="28"/>
          <w:szCs w:val="28"/>
        </w:rPr>
        <w:t>. около 24% на рынке web-разработке существуют менее 3 лет, около 57% компаний имею</w:t>
      </w:r>
      <w:r>
        <w:rPr>
          <w:rFonts w:eastAsia="Times-Roman"/>
          <w:sz w:val="28"/>
          <w:szCs w:val="28"/>
        </w:rPr>
        <w:t>т менее 25 проектов D портфолио</w:t>
      </w:r>
      <w:r>
        <w:rPr>
          <w:rFonts w:eastAsia="Times-Roman"/>
          <w:sz w:val="28"/>
          <w:szCs w:val="28"/>
          <w:lang w:val="uk-UA"/>
        </w:rPr>
        <w:t xml:space="preserve">, </w:t>
      </w:r>
      <w:r w:rsidRPr="00E2078F">
        <w:rPr>
          <w:rFonts w:eastAsia="Times-Roman"/>
          <w:sz w:val="28"/>
          <w:szCs w:val="28"/>
        </w:rPr>
        <w:t>- реализация программ льготного кредитования Интернет-проектов,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развивающих электронную коммерцию и Интернет-маркетинг в регионах.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i/>
          <w:iCs/>
          <w:sz w:val="28"/>
          <w:szCs w:val="28"/>
        </w:rPr>
        <w:t xml:space="preserve">Обоснование: </w:t>
      </w:r>
      <w:r w:rsidRPr="00E2078F">
        <w:rPr>
          <w:rFonts w:eastAsia="Times-Roman"/>
          <w:sz w:val="28"/>
          <w:szCs w:val="28"/>
        </w:rPr>
        <w:t>несмотря на то, что информационные технологии входят в спектр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стратегических направлений г</w:t>
      </w:r>
      <w:r>
        <w:rPr>
          <w:rFonts w:eastAsia="Times-Roman"/>
          <w:sz w:val="28"/>
          <w:szCs w:val="28"/>
        </w:rPr>
        <w:t>осударственной политики Украины</w:t>
      </w:r>
      <w:r w:rsidRPr="00E2078F">
        <w:rPr>
          <w:rFonts w:eastAsia="Times-Roman"/>
          <w:sz w:val="28"/>
          <w:szCs w:val="28"/>
        </w:rPr>
        <w:t>, реальную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финансовую поддержку в форме грантов получают единичные проекты с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высокой инновационной составляющей. В то же время значительные объемы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Интернет-экономики составляют традиционные бизнесы в сфере электронной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коммерции, Интернет-маркетинга и рекламы. Именно по этим направлениям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 xml:space="preserve">эксперты прогнозируют </w:t>
      </w:r>
      <w:r>
        <w:rPr>
          <w:rFonts w:eastAsia="Times-Roman"/>
          <w:sz w:val="28"/>
          <w:szCs w:val="28"/>
        </w:rPr>
        <w:t>значительный рост в течение 2017</w:t>
      </w:r>
      <w:r w:rsidRPr="00E2078F">
        <w:rPr>
          <w:rFonts w:eastAsia="Times-Roman"/>
          <w:sz w:val="28"/>
          <w:szCs w:val="28"/>
        </w:rPr>
        <w:t xml:space="preserve"> года и последующие</w:t>
      </w:r>
      <w:r>
        <w:rPr>
          <w:rFonts w:eastAsia="Times-Roman"/>
          <w:sz w:val="28"/>
          <w:szCs w:val="28"/>
          <w:lang w:val="uk-UA"/>
        </w:rPr>
        <w:t xml:space="preserve"> </w:t>
      </w:r>
      <w:r>
        <w:rPr>
          <w:rFonts w:eastAsia="Times-Roman"/>
          <w:sz w:val="28"/>
          <w:szCs w:val="28"/>
        </w:rPr>
        <w:t>несколько</w:t>
      </w:r>
      <w:r w:rsidRPr="00E2078F">
        <w:rPr>
          <w:rFonts w:eastAsia="Times-Roman"/>
          <w:sz w:val="28"/>
          <w:szCs w:val="28"/>
        </w:rPr>
        <w:t xml:space="preserve"> лет. Тем не менее, наблюдается неравномерное развитие этих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направлений в регионах: зачастую региональная Интернет-экономика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находится в зачаточном состоянии, в то время как эксперты считают</w:t>
      </w:r>
      <w:r>
        <w:rPr>
          <w:rFonts w:eastAsia="Times-Roman"/>
          <w:sz w:val="28"/>
          <w:szCs w:val="28"/>
          <w:lang w:val="uk-UA"/>
        </w:rPr>
        <w:t xml:space="preserve"> </w:t>
      </w:r>
      <w:r>
        <w:rPr>
          <w:rFonts w:eastAsia="Times-Roman"/>
          <w:sz w:val="28"/>
          <w:szCs w:val="28"/>
        </w:rPr>
        <w:t xml:space="preserve">возможным развитие </w:t>
      </w:r>
      <w:r>
        <w:rPr>
          <w:rFonts w:eastAsia="Times-Roman"/>
          <w:sz w:val="28"/>
          <w:szCs w:val="28"/>
          <w:lang w:val="uk-UA"/>
        </w:rPr>
        <w:t xml:space="preserve">украинского </w:t>
      </w:r>
      <w:r w:rsidRPr="00E2078F">
        <w:rPr>
          <w:rFonts w:eastAsia="Times-Roman"/>
          <w:sz w:val="28"/>
          <w:szCs w:val="28"/>
        </w:rPr>
        <w:t>Интернет-рынка именно за счет регионов.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i/>
          <w:iCs/>
          <w:sz w:val="28"/>
          <w:szCs w:val="28"/>
        </w:rPr>
      </w:pPr>
      <w:r w:rsidRPr="00E2078F">
        <w:rPr>
          <w:rFonts w:eastAsia="Times-Roman"/>
          <w:i/>
          <w:iCs/>
          <w:sz w:val="28"/>
          <w:szCs w:val="28"/>
        </w:rPr>
        <w:t>3. Мероприятия, направленные на формирование предпринимательского духа,</w:t>
      </w:r>
      <w:r>
        <w:rPr>
          <w:rFonts w:eastAsia="Times-Roman"/>
          <w:i/>
          <w:iCs/>
          <w:sz w:val="28"/>
          <w:szCs w:val="28"/>
          <w:lang w:val="uk-UA"/>
        </w:rPr>
        <w:t xml:space="preserve"> </w:t>
      </w:r>
      <w:r w:rsidRPr="00E2078F">
        <w:rPr>
          <w:rFonts w:eastAsia="Times-Roman"/>
          <w:i/>
          <w:iCs/>
          <w:sz w:val="28"/>
          <w:szCs w:val="28"/>
        </w:rPr>
        <w:t>бизнес-навыков молодых предпринимателей в сети Интернет, общественного</w:t>
      </w:r>
      <w:r>
        <w:rPr>
          <w:rFonts w:eastAsia="Times-Roman"/>
          <w:i/>
          <w:iCs/>
          <w:sz w:val="28"/>
          <w:szCs w:val="28"/>
          <w:lang w:val="uk-UA"/>
        </w:rPr>
        <w:t xml:space="preserve"> </w:t>
      </w:r>
      <w:r w:rsidRPr="00E2078F">
        <w:rPr>
          <w:rFonts w:eastAsia="Times-Roman"/>
          <w:i/>
          <w:iCs/>
          <w:sz w:val="28"/>
          <w:szCs w:val="28"/>
        </w:rPr>
        <w:t>признания инновационной деятельности и медиаграмотности населения: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- создание и реализация единой программы, нацеленной на ра</w:t>
      </w:r>
      <w:r>
        <w:rPr>
          <w:rFonts w:eastAsia="Times-Roman"/>
          <w:sz w:val="28"/>
          <w:szCs w:val="28"/>
        </w:rPr>
        <w:t xml:space="preserve">звитие </w:t>
      </w:r>
      <w:r>
        <w:rPr>
          <w:rFonts w:eastAsia="Times-Roman"/>
          <w:sz w:val="28"/>
          <w:szCs w:val="28"/>
          <w:lang w:val="uk-UA"/>
        </w:rPr>
        <w:t xml:space="preserve">Украинского </w:t>
      </w:r>
      <w:r>
        <w:rPr>
          <w:rFonts w:eastAsia="Times-Roman"/>
          <w:sz w:val="28"/>
          <w:szCs w:val="28"/>
        </w:rPr>
        <w:t>стартап-движения</w:t>
      </w:r>
      <w:r w:rsidRPr="00E2078F">
        <w:rPr>
          <w:rFonts w:eastAsia="Times-Roman"/>
          <w:sz w:val="28"/>
          <w:szCs w:val="28"/>
        </w:rPr>
        <w:t>, в форме государственно-частного партнерства;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- совершенствование образовательных программ с целью разв</w:t>
      </w:r>
      <w:r>
        <w:rPr>
          <w:rFonts w:eastAsia="Times-Roman"/>
          <w:sz w:val="28"/>
          <w:szCs w:val="28"/>
        </w:rPr>
        <w:t xml:space="preserve">ития Интернет-экономики в </w:t>
      </w:r>
      <w:r>
        <w:rPr>
          <w:rFonts w:eastAsia="Times-Roman"/>
          <w:sz w:val="28"/>
          <w:szCs w:val="28"/>
          <w:lang w:val="uk-UA"/>
        </w:rPr>
        <w:t>Украине</w:t>
      </w:r>
      <w:r w:rsidRPr="00E2078F">
        <w:rPr>
          <w:rFonts w:eastAsia="Times-Roman"/>
          <w:sz w:val="28"/>
          <w:szCs w:val="28"/>
        </w:rPr>
        <w:t>, введение специализированных курсов на всех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специальностях в вузах с целью повышения Интернет-грамотности населения;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- государственное финансирование (на конкурсной основе) участия молодых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ИТ-компаний и начинающих предпринимателей в российских 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международных форумах по проблемам развития Интернет-экономики,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технологий и инноваций;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- проведение региональных мероприятий по стимулированию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предпринимательской деятельности;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- формирование института мент</w:t>
      </w:r>
      <w:r>
        <w:rPr>
          <w:rFonts w:eastAsia="Times-Roman"/>
          <w:sz w:val="28"/>
          <w:szCs w:val="28"/>
        </w:rPr>
        <w:t xml:space="preserve">орства и наставничества в </w:t>
      </w:r>
      <w:r>
        <w:rPr>
          <w:rFonts w:eastAsia="Times-Roman"/>
          <w:sz w:val="28"/>
          <w:szCs w:val="28"/>
          <w:lang w:val="uk-UA"/>
        </w:rPr>
        <w:t>Украине</w:t>
      </w:r>
      <w:r w:rsidRPr="00E2078F">
        <w:rPr>
          <w:rFonts w:eastAsia="Times-Roman"/>
          <w:sz w:val="28"/>
          <w:szCs w:val="28"/>
        </w:rPr>
        <w:t>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i/>
          <w:iCs/>
          <w:sz w:val="28"/>
          <w:szCs w:val="28"/>
        </w:rPr>
        <w:t xml:space="preserve">Обоснование: </w:t>
      </w:r>
      <w:r>
        <w:rPr>
          <w:rFonts w:eastAsia="Times-Roman"/>
          <w:sz w:val="28"/>
          <w:szCs w:val="28"/>
        </w:rPr>
        <w:t xml:space="preserve">в </w:t>
      </w:r>
      <w:r>
        <w:rPr>
          <w:rFonts w:eastAsia="Times-Roman"/>
          <w:sz w:val="28"/>
          <w:szCs w:val="28"/>
          <w:lang w:val="uk-UA"/>
        </w:rPr>
        <w:t>стране</w:t>
      </w:r>
      <w:r w:rsidRPr="00E2078F">
        <w:rPr>
          <w:rFonts w:eastAsia="Times-Roman"/>
          <w:sz w:val="28"/>
          <w:szCs w:val="28"/>
        </w:rPr>
        <w:t xml:space="preserve"> отсутствует целевая программа развития стартап-проектов, в частности инновационных Интернет-компаний. Реализация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отдельных мероприятий осуществляется частными венчурными фондами,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бизнес-ангелами, коммерческими структурами. В то же время необходима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общая стратегия и поддержка этой про</w:t>
      </w:r>
      <w:r>
        <w:rPr>
          <w:rFonts w:eastAsia="Times-Roman"/>
          <w:sz w:val="28"/>
          <w:szCs w:val="28"/>
        </w:rPr>
        <w:t xml:space="preserve">граммы как Министерством </w:t>
      </w:r>
      <w:r>
        <w:rPr>
          <w:rFonts w:eastAsia="Times-Roman"/>
          <w:sz w:val="28"/>
          <w:szCs w:val="28"/>
          <w:lang w:val="uk-UA"/>
        </w:rPr>
        <w:t>инфраструктур</w:t>
      </w:r>
      <w:r>
        <w:rPr>
          <w:rFonts w:eastAsia="Times-Roman"/>
          <w:sz w:val="28"/>
          <w:szCs w:val="28"/>
        </w:rPr>
        <w:t>ы</w:t>
      </w:r>
      <w:r w:rsidRPr="00E2078F">
        <w:rPr>
          <w:rFonts w:eastAsia="Times-Roman"/>
          <w:sz w:val="28"/>
          <w:szCs w:val="28"/>
        </w:rPr>
        <w:t>, Министерством экономического развития, так 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ведущими корпорациями, предпринимателями, экспертами с целью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централизованного проведения системы мероприятий (рекламные и PR-акции).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Авторитетные отраслевые мероп</w:t>
      </w:r>
      <w:r>
        <w:rPr>
          <w:rFonts w:eastAsia="Times-Roman"/>
          <w:sz w:val="28"/>
          <w:szCs w:val="28"/>
        </w:rPr>
        <w:t>риятия (</w:t>
      </w:r>
      <w:r>
        <w:rPr>
          <w:rFonts w:eastAsia="Times-Roman"/>
          <w:sz w:val="28"/>
          <w:szCs w:val="28"/>
          <w:lang w:val="en-US"/>
        </w:rPr>
        <w:t>Ukreni</w:t>
      </w:r>
      <w:r>
        <w:rPr>
          <w:rFonts w:eastAsia="Times-Roman"/>
          <w:sz w:val="28"/>
          <w:szCs w:val="28"/>
        </w:rPr>
        <w:t>an</w:t>
      </w:r>
      <w:r>
        <w:rPr>
          <w:rFonts w:eastAsia="Times-Roman"/>
          <w:sz w:val="28"/>
          <w:szCs w:val="28"/>
          <w:lang w:val="uk-UA"/>
        </w:rPr>
        <w:t xml:space="preserve"> </w:t>
      </w:r>
      <w:r>
        <w:rPr>
          <w:rFonts w:eastAsia="Times-Roman"/>
          <w:sz w:val="28"/>
          <w:szCs w:val="28"/>
        </w:rPr>
        <w:t>Internet</w:t>
      </w:r>
      <w:r>
        <w:rPr>
          <w:rFonts w:eastAsia="Times-Roman"/>
          <w:sz w:val="28"/>
          <w:szCs w:val="28"/>
          <w:lang w:val="uk-UA"/>
        </w:rPr>
        <w:t xml:space="preserve"> </w:t>
      </w:r>
      <w:r>
        <w:rPr>
          <w:rFonts w:eastAsia="Times-Roman"/>
          <w:sz w:val="28"/>
          <w:szCs w:val="28"/>
        </w:rPr>
        <w:t xml:space="preserve">Week, </w:t>
      </w:r>
      <w:r>
        <w:rPr>
          <w:rFonts w:eastAsia="Times-Roman"/>
          <w:sz w:val="28"/>
          <w:szCs w:val="28"/>
          <w:lang w:val="uk-UA"/>
        </w:rPr>
        <w:t>Украинский</w:t>
      </w:r>
      <w:r w:rsidRPr="00E2078F">
        <w:rPr>
          <w:rFonts w:eastAsia="Times-Roman"/>
          <w:sz w:val="28"/>
          <w:szCs w:val="28"/>
        </w:rPr>
        <w:t xml:space="preserve"> международный форум инновационного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 xml:space="preserve">развития </w:t>
      </w:r>
      <w:r>
        <w:rPr>
          <w:rFonts w:eastAsia="Times-Roman"/>
          <w:sz w:val="28"/>
          <w:szCs w:val="28"/>
          <w:lang w:val="uk-UA"/>
        </w:rPr>
        <w:t>«</w:t>
      </w:r>
      <w:r w:rsidRPr="00E2078F">
        <w:rPr>
          <w:rFonts w:eastAsia="Times-Roman"/>
          <w:sz w:val="28"/>
          <w:szCs w:val="28"/>
        </w:rPr>
        <w:t>Открытые инновации</w:t>
      </w:r>
      <w:r>
        <w:rPr>
          <w:rFonts w:eastAsia="Times-Roman"/>
          <w:sz w:val="28"/>
          <w:szCs w:val="28"/>
          <w:lang w:val="uk-UA"/>
        </w:rPr>
        <w:t>»</w:t>
      </w:r>
      <w:r w:rsidRPr="00E2078F">
        <w:rPr>
          <w:rFonts w:eastAsia="Times-Roman"/>
          <w:sz w:val="28"/>
          <w:szCs w:val="28"/>
        </w:rPr>
        <w:t xml:space="preserve"> и другие), как правило, являются платными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для всех участников и не всегда доступны начинающим предпринимателям.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Наблюдается локализация всех образовательных мероприятий в крупных</w:t>
      </w:r>
      <w:r>
        <w:rPr>
          <w:rFonts w:eastAsia="Times-Roman"/>
          <w:sz w:val="28"/>
          <w:szCs w:val="28"/>
          <w:lang w:val="uk-UA"/>
        </w:rPr>
        <w:t xml:space="preserve"> городах</w:t>
      </w:r>
      <w:r>
        <w:rPr>
          <w:rFonts w:eastAsia="Times-Roman"/>
          <w:sz w:val="28"/>
          <w:szCs w:val="28"/>
        </w:rPr>
        <w:t xml:space="preserve">: </w:t>
      </w:r>
      <w:r>
        <w:rPr>
          <w:rFonts w:eastAsia="Times-Roman"/>
          <w:sz w:val="28"/>
          <w:szCs w:val="28"/>
          <w:lang w:val="uk-UA"/>
        </w:rPr>
        <w:t>Киев, Харьков, Днепропетровск, Одесса</w:t>
      </w:r>
      <w:r w:rsidRPr="00E2078F">
        <w:rPr>
          <w:rFonts w:eastAsia="Times-Roman"/>
          <w:sz w:val="28"/>
          <w:szCs w:val="28"/>
        </w:rPr>
        <w:t>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Отметим, что предлагаемые формы финансирования и поддержки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стартап-проектов должны реализовываться на конкурсной основе, с целью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обеспечения объективности отбора проектов и эффективности вложений.</w:t>
      </w:r>
    </w:p>
    <w:p w:rsidR="00F8372C" w:rsidRDefault="00F8372C" w:rsidP="004A531F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Нередко оценка Интернет-проектов госслужащими является затруднительной ввиду отсутствия единой базы критериев, а также существенных отличий в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оценке традиционных и инновационных бизнес-проектов.</w:t>
      </w:r>
    </w:p>
    <w:p w:rsidR="00F8372C" w:rsidRPr="00E2078F" w:rsidRDefault="00F8372C" w:rsidP="004A53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E2078F">
        <w:rPr>
          <w:rFonts w:eastAsia="Times-Roman"/>
          <w:sz w:val="28"/>
          <w:szCs w:val="28"/>
        </w:rPr>
        <w:t>Итак, развитие Интернет-экономики и венчурного инвестирования в</w:t>
      </w:r>
      <w:r>
        <w:rPr>
          <w:rFonts w:eastAsia="Times-Roman"/>
          <w:sz w:val="28"/>
          <w:szCs w:val="28"/>
          <w:lang w:val="uk-UA"/>
        </w:rPr>
        <w:t xml:space="preserve"> Украине</w:t>
      </w:r>
      <w:r w:rsidRPr="00E2078F">
        <w:rPr>
          <w:rFonts w:eastAsia="Times-Roman"/>
          <w:sz w:val="28"/>
          <w:szCs w:val="28"/>
        </w:rPr>
        <w:t xml:space="preserve"> будет происходить недостаточными темпами без соответствующей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поддержки государственными структурами. Это связано с тем, что круг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существующих венчурных фондов и индивидуальных инвесторов ограничен и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не в состоянии покрыть все потребности молодых инновационных компаний в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капитале. Кроме того, для успешного функционирования инновационно-венчурной экосистемы страны необходимо наличие единого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системообразующего центра для организации успешного взаимодействия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объектов и субъектов венчурного рынка и решения идеологических задач,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которые не входят в круг интересов коммерческих структур, но при этом</w:t>
      </w:r>
      <w:r>
        <w:rPr>
          <w:rFonts w:eastAsia="Times-Roman"/>
          <w:sz w:val="28"/>
          <w:szCs w:val="28"/>
          <w:lang w:val="uk-UA"/>
        </w:rPr>
        <w:t xml:space="preserve"> </w:t>
      </w:r>
      <w:r w:rsidRPr="00E2078F">
        <w:rPr>
          <w:rFonts w:eastAsia="Times-Roman"/>
          <w:sz w:val="28"/>
          <w:szCs w:val="28"/>
        </w:rPr>
        <w:t>способствуют развитию предпринимательского духа и инициативы в стране.</w:t>
      </w:r>
    </w:p>
    <w:p w:rsidR="00F8372C" w:rsidRPr="002836A3" w:rsidRDefault="00F8372C" w:rsidP="002836A3">
      <w:pPr>
        <w:spacing w:line="360" w:lineRule="auto"/>
        <w:ind w:firstLine="720"/>
        <w:rPr>
          <w:b/>
          <w:color w:val="000000"/>
          <w:sz w:val="28"/>
          <w:szCs w:val="28"/>
        </w:rPr>
      </w:pPr>
      <w:r w:rsidRPr="002836A3">
        <w:rPr>
          <w:b/>
          <w:color w:val="000000"/>
          <w:sz w:val="28"/>
          <w:szCs w:val="28"/>
        </w:rPr>
        <w:t>Литература:</w:t>
      </w:r>
    </w:p>
    <w:p w:rsidR="00F8372C" w:rsidRPr="004B0D43" w:rsidRDefault="00F8372C" w:rsidP="004B0D43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4B0D43">
        <w:rPr>
          <w:color w:val="000000"/>
          <w:sz w:val="28"/>
          <w:szCs w:val="28"/>
          <w:lang w:val="uk-UA"/>
        </w:rPr>
        <w:t>1. Діяльність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4B0D43">
        <w:rPr>
          <w:color w:val="000000"/>
          <w:sz w:val="28"/>
          <w:szCs w:val="28"/>
          <w:lang w:val="uk-UA"/>
        </w:rPr>
        <w:t>підприємств</w:t>
      </w:r>
      <w:r>
        <w:rPr>
          <w:color w:val="000000"/>
          <w:sz w:val="28"/>
          <w:szCs w:val="28"/>
          <w:lang w:val="uk-UA"/>
        </w:rPr>
        <w:t xml:space="preserve"> </w:t>
      </w:r>
      <w:r w:rsidRPr="004B0D43">
        <w:rPr>
          <w:color w:val="000000"/>
          <w:sz w:val="28"/>
          <w:szCs w:val="28"/>
          <w:lang w:val="uk-UA"/>
        </w:rPr>
        <w:t>сфери</w:t>
      </w:r>
      <w:r>
        <w:rPr>
          <w:color w:val="000000"/>
          <w:sz w:val="28"/>
          <w:szCs w:val="28"/>
          <w:lang w:val="uk-UA"/>
        </w:rPr>
        <w:t xml:space="preserve"> </w:t>
      </w:r>
      <w:r w:rsidRPr="004B0D43">
        <w:rPr>
          <w:color w:val="000000"/>
          <w:sz w:val="28"/>
          <w:szCs w:val="28"/>
          <w:lang w:val="uk-UA"/>
        </w:rPr>
        <w:t>послугу</w:t>
      </w:r>
      <w:r>
        <w:rPr>
          <w:color w:val="000000"/>
          <w:sz w:val="28"/>
          <w:szCs w:val="28"/>
          <w:lang w:val="uk-UA"/>
        </w:rPr>
        <w:t xml:space="preserve"> 2016</w:t>
      </w:r>
      <w:r w:rsidRPr="004B0D43">
        <w:rPr>
          <w:color w:val="000000"/>
          <w:sz w:val="28"/>
          <w:szCs w:val="28"/>
          <w:lang w:val="uk-UA"/>
        </w:rPr>
        <w:t>. Основні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4B0D43">
        <w:rPr>
          <w:color w:val="000000"/>
          <w:sz w:val="28"/>
          <w:szCs w:val="28"/>
          <w:lang w:val="uk-UA"/>
        </w:rPr>
        <w:t>тенденції. Експрес-випуск</w:t>
      </w:r>
      <w:r>
        <w:rPr>
          <w:color w:val="000000"/>
          <w:sz w:val="28"/>
          <w:szCs w:val="28"/>
          <w:lang w:val="uk-UA"/>
        </w:rPr>
        <w:t xml:space="preserve"> </w:t>
      </w:r>
      <w:r w:rsidRPr="004B0D43">
        <w:rPr>
          <w:color w:val="000000"/>
          <w:sz w:val="28"/>
          <w:szCs w:val="28"/>
          <w:lang w:val="uk-UA"/>
        </w:rPr>
        <w:t>держ. Службистатистики</w:t>
      </w:r>
      <w:r>
        <w:rPr>
          <w:color w:val="000000"/>
          <w:sz w:val="28"/>
          <w:szCs w:val="28"/>
          <w:lang w:val="uk-UA"/>
        </w:rPr>
        <w:t xml:space="preserve"> </w:t>
      </w:r>
      <w:r w:rsidRPr="004B0D43">
        <w:rPr>
          <w:color w:val="000000"/>
          <w:sz w:val="28"/>
          <w:szCs w:val="28"/>
          <w:lang w:val="uk-UA"/>
        </w:rPr>
        <w:t>України№05/1 – 40/35 від 23 квітня</w:t>
      </w:r>
      <w:r>
        <w:rPr>
          <w:color w:val="000000"/>
          <w:sz w:val="28"/>
          <w:szCs w:val="28"/>
          <w:lang w:val="uk-UA"/>
        </w:rPr>
        <w:t xml:space="preserve"> 2017.(</w:t>
      </w:r>
      <w:r w:rsidRPr="004B0D43">
        <w:rPr>
          <w:color w:val="000000"/>
          <w:sz w:val="28"/>
          <w:szCs w:val="28"/>
          <w:lang w:val="uk-UA"/>
        </w:rPr>
        <w:t>[Электронный</w:t>
      </w:r>
      <w:r>
        <w:rPr>
          <w:color w:val="000000"/>
          <w:sz w:val="28"/>
          <w:szCs w:val="28"/>
          <w:lang w:val="uk-UA"/>
        </w:rPr>
        <w:t xml:space="preserve"> </w:t>
      </w:r>
      <w:r w:rsidRPr="004B0D43">
        <w:rPr>
          <w:color w:val="000000"/>
          <w:sz w:val="28"/>
          <w:szCs w:val="28"/>
          <w:lang w:val="uk-UA"/>
        </w:rPr>
        <w:t>ресурс] - Режимдоступу</w:t>
      </w:r>
      <w:hyperlink r:id="rId4" w:history="1">
        <w:r w:rsidRPr="004B0D43">
          <w:rPr>
            <w:color w:val="0000FF"/>
            <w:sz w:val="28"/>
            <w:szCs w:val="28"/>
            <w:u w:val="single"/>
            <w:lang w:val="uk-UA"/>
          </w:rPr>
          <w:t>http://www.ukrstat.gov.ua</w:t>
        </w:r>
      </w:hyperlink>
      <w:r w:rsidRPr="004B0D43">
        <w:rPr>
          <w:color w:val="000000"/>
          <w:sz w:val="28"/>
          <w:szCs w:val="28"/>
          <w:lang w:val="uk-UA"/>
        </w:rPr>
        <w:t>)</w:t>
      </w:r>
    </w:p>
    <w:p w:rsidR="00F8372C" w:rsidRDefault="00F8372C" w:rsidP="004B0D43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4B0D43">
        <w:rPr>
          <w:color w:val="000000"/>
          <w:sz w:val="28"/>
          <w:szCs w:val="28"/>
          <w:lang w:val="uk-UA"/>
        </w:rPr>
        <w:t>2. Річний звіт про роботу Національної комісії, що здійснює державне регулювання у сфері зв’язку та і</w:t>
      </w:r>
      <w:r>
        <w:rPr>
          <w:color w:val="000000"/>
          <w:sz w:val="28"/>
          <w:szCs w:val="28"/>
          <w:lang w:val="uk-UA"/>
        </w:rPr>
        <w:t>нформатизації за 2016</w:t>
      </w:r>
      <w:r w:rsidRPr="004B0D43">
        <w:rPr>
          <w:color w:val="000000"/>
          <w:sz w:val="28"/>
          <w:szCs w:val="28"/>
          <w:lang w:val="uk-UA"/>
        </w:rPr>
        <w:t xml:space="preserve"> рік // Національна комісія з питань регулювання зв'язку України //- [Электронный</w:t>
      </w:r>
      <w:r>
        <w:rPr>
          <w:color w:val="000000"/>
          <w:sz w:val="28"/>
          <w:szCs w:val="28"/>
          <w:lang w:val="uk-UA"/>
        </w:rPr>
        <w:t xml:space="preserve"> </w:t>
      </w:r>
      <w:r w:rsidRPr="004B0D43">
        <w:rPr>
          <w:color w:val="000000"/>
          <w:sz w:val="28"/>
          <w:szCs w:val="28"/>
          <w:lang w:val="uk-UA"/>
        </w:rPr>
        <w:t xml:space="preserve">ресурс] </w:t>
      </w:r>
      <w:r>
        <w:rPr>
          <w:color w:val="000000"/>
          <w:sz w:val="28"/>
          <w:szCs w:val="28"/>
          <w:lang w:val="uk-UA"/>
        </w:rPr>
        <w:t>–</w:t>
      </w:r>
      <w:r w:rsidRPr="004B0D43">
        <w:rPr>
          <w:color w:val="000000"/>
          <w:sz w:val="28"/>
          <w:szCs w:val="28"/>
          <w:lang w:val="uk-UA"/>
        </w:rPr>
        <w:t xml:space="preserve"> Режим</w:t>
      </w:r>
      <w:r>
        <w:rPr>
          <w:color w:val="000000"/>
          <w:sz w:val="28"/>
          <w:szCs w:val="28"/>
          <w:lang w:val="uk-UA"/>
        </w:rPr>
        <w:t xml:space="preserve"> </w:t>
      </w:r>
      <w:r w:rsidRPr="004B0D43">
        <w:rPr>
          <w:color w:val="000000"/>
          <w:sz w:val="28"/>
          <w:szCs w:val="28"/>
          <w:lang w:val="uk-UA"/>
        </w:rPr>
        <w:t xml:space="preserve">доступу:  </w:t>
      </w:r>
      <w:hyperlink r:id="rId5" w:history="1">
        <w:r w:rsidRPr="0051547E">
          <w:rPr>
            <w:rStyle w:val="Hyperlink"/>
            <w:sz w:val="28"/>
            <w:szCs w:val="28"/>
            <w:lang w:val="uk-UA"/>
          </w:rPr>
          <w:t>www.nkrz.gov.ua</w:t>
        </w:r>
      </w:hyperlink>
      <w:r w:rsidRPr="004B0D43">
        <w:rPr>
          <w:color w:val="000000"/>
          <w:sz w:val="28"/>
          <w:szCs w:val="28"/>
          <w:lang w:val="uk-UA"/>
        </w:rPr>
        <w:t>.</w:t>
      </w:r>
    </w:p>
    <w:p w:rsidR="00F8372C" w:rsidRPr="005D3683" w:rsidRDefault="00F8372C" w:rsidP="004B0D43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F8372C" w:rsidRPr="004B0D43" w:rsidRDefault="00F8372C" w:rsidP="004B0D43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sectPr w:rsidR="00F8372C" w:rsidRPr="004B0D43" w:rsidSect="004A53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744E"/>
    <w:rsid w:val="001420A1"/>
    <w:rsid w:val="00215329"/>
    <w:rsid w:val="002205E9"/>
    <w:rsid w:val="002836A3"/>
    <w:rsid w:val="004A531F"/>
    <w:rsid w:val="004B0D43"/>
    <w:rsid w:val="0051547E"/>
    <w:rsid w:val="0057229D"/>
    <w:rsid w:val="005D3683"/>
    <w:rsid w:val="0068744E"/>
    <w:rsid w:val="007259D9"/>
    <w:rsid w:val="00BC3F2A"/>
    <w:rsid w:val="00CA00DE"/>
    <w:rsid w:val="00D039F1"/>
    <w:rsid w:val="00E2078F"/>
    <w:rsid w:val="00E278AE"/>
    <w:rsid w:val="00F20FEE"/>
    <w:rsid w:val="00F8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9F1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05E9"/>
    <w:pPr>
      <w:keepNext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05E9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05E9"/>
    <w:pPr>
      <w:keepNext/>
      <w:spacing w:before="240" w:after="60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05E9"/>
    <w:pPr>
      <w:keepNext/>
      <w:spacing w:before="240" w:after="60"/>
      <w:outlineLvl w:val="3"/>
    </w:pPr>
    <w:rPr>
      <w:b/>
      <w:bCs/>
      <w:color w:val="00000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205E9"/>
    <w:pPr>
      <w:spacing w:before="240" w:after="60"/>
      <w:outlineLvl w:val="4"/>
    </w:pPr>
    <w:rPr>
      <w:b/>
      <w:bCs/>
      <w:i/>
      <w:iCs/>
      <w:color w:val="00000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05E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205E9"/>
    <w:pPr>
      <w:spacing w:before="240" w:after="60"/>
      <w:outlineLvl w:val="6"/>
    </w:pPr>
    <w:rPr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05E9"/>
    <w:rPr>
      <w:rFonts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205E9"/>
    <w:rPr>
      <w:rFonts w:cs="Times New Roman"/>
      <w:b/>
      <w:bCs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205E9"/>
    <w:rPr>
      <w:rFonts w:ascii="Arial" w:hAnsi="Arial" w:cs="Arial"/>
      <w:b/>
      <w:bCs/>
      <w:color w:val="000000"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205E9"/>
    <w:rPr>
      <w:rFonts w:cs="Times New Roman"/>
      <w:b/>
      <w:bCs/>
      <w:color w:val="000000"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205E9"/>
    <w:rPr>
      <w:rFonts w:cs="Times New Roman"/>
      <w:b/>
      <w:bCs/>
      <w:i/>
      <w:iCs/>
      <w:color w:val="000000"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205E9"/>
    <w:rPr>
      <w:rFonts w:cs="Times New Roman"/>
      <w:b/>
      <w:bCs/>
      <w:sz w:val="22"/>
      <w:szCs w:val="22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205E9"/>
    <w:rPr>
      <w:rFonts w:cs="Times New Roman"/>
      <w:color w:val="000000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uiPriority w:val="99"/>
    <w:rsid w:val="002205E9"/>
    <w:pPr>
      <w:autoSpaceDE w:val="0"/>
      <w:autoSpaceDN w:val="0"/>
      <w:adjustRightInd w:val="0"/>
    </w:pPr>
    <w:rPr>
      <w:lang w:val="uk-UA" w:eastAsia="uk-UA"/>
    </w:rPr>
  </w:style>
  <w:style w:type="paragraph" w:styleId="Title">
    <w:name w:val="Title"/>
    <w:basedOn w:val="Normal"/>
    <w:link w:val="TitleChar"/>
    <w:uiPriority w:val="99"/>
    <w:qFormat/>
    <w:rsid w:val="002205E9"/>
    <w:pPr>
      <w:spacing w:line="360" w:lineRule="auto"/>
      <w:jc w:val="center"/>
      <w:outlineLvl w:val="0"/>
    </w:pPr>
    <w:rPr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205E9"/>
    <w:rPr>
      <w:rFonts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205E9"/>
    <w:pPr>
      <w:spacing w:after="120"/>
    </w:pPr>
    <w:rPr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205E9"/>
    <w:rPr>
      <w:color w:val="000000"/>
      <w:sz w:val="24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2205E9"/>
    <w:pPr>
      <w:jc w:val="center"/>
    </w:pPr>
    <w:rPr>
      <w:b/>
      <w:sz w:val="28"/>
      <w:szCs w:val="20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205E9"/>
    <w:rPr>
      <w:rFonts w:cs="Times New Roman"/>
      <w:b/>
      <w:sz w:val="28"/>
      <w:lang w:eastAsia="ru-RU"/>
    </w:rPr>
  </w:style>
  <w:style w:type="character" w:styleId="Strong">
    <w:name w:val="Strong"/>
    <w:basedOn w:val="DefaultParagraphFont"/>
    <w:uiPriority w:val="99"/>
    <w:qFormat/>
    <w:rsid w:val="002205E9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2205E9"/>
    <w:pPr>
      <w:spacing w:line="312" w:lineRule="auto"/>
      <w:ind w:left="708" w:firstLine="709"/>
      <w:jc w:val="right"/>
    </w:pPr>
  </w:style>
  <w:style w:type="character" w:styleId="Hyperlink">
    <w:name w:val="Hyperlink"/>
    <w:basedOn w:val="DefaultParagraphFont"/>
    <w:uiPriority w:val="99"/>
    <w:rsid w:val="007259D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krz.gov.ua" TargetMode="External"/><Relationship Id="rId4" Type="http://schemas.openxmlformats.org/officeDocument/2006/relationships/hyperlink" Target="http://www.ukrstat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7</Pages>
  <Words>7673</Words>
  <Characters>4375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Tereshko</dc:creator>
  <cp:keywords/>
  <dc:description/>
  <cp:lastModifiedBy>Admin</cp:lastModifiedBy>
  <cp:revision>3</cp:revision>
  <dcterms:created xsi:type="dcterms:W3CDTF">2017-09-21T12:53:00Z</dcterms:created>
  <dcterms:modified xsi:type="dcterms:W3CDTF">2017-10-01T19:56:00Z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