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CCF" w:rsidRPr="00DE681E" w:rsidRDefault="003C1CCF" w:rsidP="0003227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</w:rPr>
      </w:pPr>
      <w:r w:rsidRPr="00DE681E">
        <w:rPr>
          <w:rFonts w:ascii="Times New Roman" w:hAnsi="Times New Roman"/>
          <w:b/>
          <w:sz w:val="28"/>
        </w:rPr>
        <w:t>Индира Бейшова,</w:t>
      </w:r>
      <w:r w:rsidRPr="00DE681E">
        <w:rPr>
          <w:rFonts w:ascii="Times New Roman" w:hAnsi="Times New Roman"/>
          <w:b/>
          <w:sz w:val="28"/>
          <w:lang w:val="uk-UA"/>
        </w:rPr>
        <w:t xml:space="preserve"> </w:t>
      </w:r>
      <w:r w:rsidRPr="00DE681E">
        <w:rPr>
          <w:rFonts w:ascii="Times New Roman" w:hAnsi="Times New Roman"/>
          <w:b/>
          <w:sz w:val="28"/>
        </w:rPr>
        <w:t>Вадим Ульянов,</w:t>
      </w:r>
    </w:p>
    <w:p w:rsidR="003C1CCF" w:rsidRPr="00DE681E" w:rsidRDefault="003C1CCF" w:rsidP="003E0C5D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</w:rPr>
      </w:pPr>
      <w:r w:rsidRPr="00DE681E">
        <w:rPr>
          <w:rFonts w:ascii="Times New Roman" w:hAnsi="Times New Roman"/>
          <w:b/>
          <w:sz w:val="28"/>
        </w:rPr>
        <w:t>Александр Ковальчук</w:t>
      </w:r>
    </w:p>
    <w:p w:rsidR="003C1CCF" w:rsidRPr="00DE681E" w:rsidRDefault="003C1CCF" w:rsidP="00032273">
      <w:pPr>
        <w:pStyle w:val="NoSpacing"/>
        <w:spacing w:line="360" w:lineRule="auto"/>
        <w:jc w:val="right"/>
        <w:rPr>
          <w:rFonts w:ascii="Times New Roman" w:hAnsi="Times New Roman"/>
          <w:b/>
          <w:sz w:val="28"/>
        </w:rPr>
      </w:pPr>
      <w:r w:rsidRPr="00DE681E">
        <w:rPr>
          <w:rFonts w:ascii="Times New Roman" w:hAnsi="Times New Roman"/>
          <w:b/>
          <w:sz w:val="28"/>
        </w:rPr>
        <w:t>(Костанай, Казахстан)</w:t>
      </w:r>
    </w:p>
    <w:p w:rsidR="003C1CCF" w:rsidRPr="00DE681E" w:rsidRDefault="003C1CCF" w:rsidP="00DE681E">
      <w:pPr>
        <w:pStyle w:val="NoSpacing"/>
        <w:spacing w:line="360" w:lineRule="auto"/>
        <w:rPr>
          <w:rFonts w:ascii="Times New Roman" w:hAnsi="Times New Roman"/>
          <w:color w:val="000000"/>
          <w:sz w:val="28"/>
          <w:lang w:val="uk-UA"/>
        </w:rPr>
      </w:pPr>
      <w:bookmarkStart w:id="0" w:name="_GoBack"/>
      <w:bookmarkEnd w:id="0"/>
    </w:p>
    <w:p w:rsidR="003C1CCF" w:rsidRDefault="003C1CCF" w:rsidP="001C6C0C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  <w:r w:rsidRPr="007B3687">
        <w:rPr>
          <w:rFonts w:ascii="Times New Roman" w:hAnsi="Times New Roman"/>
          <w:b/>
          <w:sz w:val="28"/>
        </w:rPr>
        <w:t>РАЗРАБОТКА ЭКСПРЕСС-ТЕСТОВ НА ОСНОВЕ ДНК-МАРКЕРОВ ДЛЯ ДИАГНОСТИКИ ПАТОГЕННЫХ ГРИБОВ РОДОВ PUCCINIA И PYRENOPHORA, ВЫЗЫВАЮЩИХ ЗАБОЛЕВАНИЯ ЗЕРНОВЫХ КУЛЬТУР</w:t>
      </w:r>
    </w:p>
    <w:p w:rsidR="003C1CCF" w:rsidRDefault="003C1CCF" w:rsidP="001C6C0C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</w:rPr>
      </w:pPr>
    </w:p>
    <w:p w:rsidR="003C1CCF" w:rsidRPr="003156F0" w:rsidRDefault="003C1CCF" w:rsidP="003156F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3156F0">
        <w:rPr>
          <w:rFonts w:ascii="Times New Roman" w:hAnsi="Times New Roman"/>
          <w:sz w:val="28"/>
        </w:rPr>
        <w:t xml:space="preserve">На территории Республики Казахстан, как и в других странах, занимающихся производством зерновой продукции, заболевания, вызываемые грибами Pyrenophoratritici-repentis, Pucciniagraminis и Pucciniarecondita относятся к особо опасным болезням зерновых культур. </w:t>
      </w:r>
    </w:p>
    <w:p w:rsidR="003C1CCF" w:rsidRPr="003156F0" w:rsidRDefault="003C1CCF" w:rsidP="003156F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3156F0">
        <w:rPr>
          <w:rFonts w:ascii="Times New Roman" w:hAnsi="Times New Roman"/>
          <w:sz w:val="28"/>
        </w:rPr>
        <w:t xml:space="preserve">На сегодняшний день известно свыше 100 тысяч видов грибов, среди которых есть много патогенных, вызывающих болезни растений, животных и человека. По современным оценкам, грибы являются наиболее обширной группой организмов, вызывающей болезни растений. Также они являются единственной группой патогенных организмов, в которой представлены все группы паразитической специализации: от некротрофов до биотрофов. Суммарный ущерб, наносимый грибными болезнями культурных растений, во всём мире ежегодно исчисляется миллиардами долларов. Так, по данным Продовольственной и сельскохозяйственной организации ООН (ФАО), за последние годы XX в. потери пшеницы составили 33,5 млн т, т.е. около 10% от потенциального урожая.   Эпифитотии грибных болезней и сегодня могут стать причиной голода, наносить существенный ущерб как развивающимся, так и развитым странам. </w:t>
      </w:r>
    </w:p>
    <w:p w:rsidR="003C1CCF" w:rsidRPr="003156F0" w:rsidRDefault="003C1CCF" w:rsidP="003156F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3156F0">
        <w:rPr>
          <w:rFonts w:ascii="Times New Roman" w:hAnsi="Times New Roman"/>
          <w:sz w:val="28"/>
        </w:rPr>
        <w:t xml:space="preserve">Проблема заражения зерновых культур фитопатогенными грибами особо остро стоит для стран Центральной Азии, поскольку этот регион, по сведениям ФАО, характеризуется самым высоким уровнем потребления хлеба на душу населения (более </w:t>
      </w:r>
      <w:smartTag w:uri="urn:schemas-microsoft-com:office:smarttags" w:element="metricconverter">
        <w:smartTagPr>
          <w:attr w:name="ProductID" w:val="200 кг"/>
        </w:smartTagPr>
        <w:r w:rsidRPr="003156F0">
          <w:rPr>
            <w:rFonts w:ascii="Times New Roman" w:hAnsi="Times New Roman"/>
            <w:sz w:val="28"/>
          </w:rPr>
          <w:t>200 кг</w:t>
        </w:r>
      </w:smartTag>
      <w:r w:rsidRPr="003156F0">
        <w:rPr>
          <w:rFonts w:ascii="Times New Roman" w:hAnsi="Times New Roman"/>
          <w:sz w:val="28"/>
        </w:rPr>
        <w:t xml:space="preserve"> в год), а сельское хозяйство рассматривается в качестве одного из основных факторов экономики. При этом Казахстан является ярко выраженным лидером региона по производству (9,6 млн тонн в год по оценке </w:t>
      </w:r>
      <w:smartTag w:uri="urn:schemas-microsoft-com:office:smarttags" w:element="metricconverter">
        <w:smartTagPr>
          <w:attr w:name="ProductID" w:val="2012 г"/>
        </w:smartTagPr>
        <w:r w:rsidRPr="003156F0">
          <w:rPr>
            <w:rFonts w:ascii="Times New Roman" w:hAnsi="Times New Roman"/>
            <w:sz w:val="28"/>
          </w:rPr>
          <w:t>2012 г</w:t>
        </w:r>
      </w:smartTag>
      <w:r w:rsidRPr="003156F0">
        <w:rPr>
          <w:rFonts w:ascii="Times New Roman" w:hAnsi="Times New Roman"/>
          <w:sz w:val="28"/>
        </w:rPr>
        <w:t xml:space="preserve">.) и экспорту пшеницы, а также имеет наиболее обширную площадь пашни в регионе (82,4% от общей площади). </w:t>
      </w:r>
    </w:p>
    <w:p w:rsidR="003C1CCF" w:rsidRDefault="003C1CCF" w:rsidP="003156F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3156F0">
        <w:rPr>
          <w:rFonts w:ascii="Times New Roman" w:hAnsi="Times New Roman"/>
          <w:sz w:val="28"/>
        </w:rPr>
        <w:t xml:space="preserve">Обеспечение качества и безопасности продуктов питания, а также сырья, используемого для их производства, требуют постоянного мониторинга заражённости растений и зерна фитопатогенами, в том числе возбудителями ржавчины и пятнистости, а также разработки эффективных методов борьбы с заболеваниями. Эти методы должны быть основаны на интегративных подходах, учитывающих все аспекты заболевания, однако для их эффективного применения в первую очередь необходима точная, достоверная и своевременная диагностика и идентификация патогенов.      </w:t>
      </w:r>
    </w:p>
    <w:p w:rsidR="003C1CCF" w:rsidRPr="00A31667" w:rsidRDefault="003C1CCF" w:rsidP="00A31667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31667">
        <w:rPr>
          <w:rFonts w:ascii="Times New Roman" w:hAnsi="Times New Roman"/>
          <w:sz w:val="28"/>
        </w:rPr>
        <w:t xml:space="preserve">Ржавчина и пятнистость пшеницы являются одними из наиболее распространённых и вредоносных заболеваний, поражающих злаковые культуры на территории Казахстана. За последние 15 лет был отмечен целый ряд вспышек эпифитотий в регионе [1, 2]. Хорошо известна также эпифитотия стеблевой ржавчины в северных областях Казахстана в </w:t>
      </w:r>
      <w:smartTag w:uri="urn:schemas-microsoft-com:office:smarttags" w:element="metricconverter">
        <w:smartTagPr>
          <w:attr w:name="ProductID" w:val="1967 г"/>
        </w:smartTagPr>
        <w:r w:rsidRPr="00A31667">
          <w:rPr>
            <w:rFonts w:ascii="Times New Roman" w:hAnsi="Times New Roman"/>
            <w:sz w:val="28"/>
          </w:rPr>
          <w:t>1967 г</w:t>
        </w:r>
      </w:smartTag>
      <w:r w:rsidRPr="00A31667">
        <w:rPr>
          <w:rFonts w:ascii="Times New Roman" w:hAnsi="Times New Roman"/>
          <w:sz w:val="28"/>
        </w:rPr>
        <w:t>., которая охватила более 5 млн га посевов, в результате чего потери урожая превысили 50% [3, 4]. Возбудители бурой (листовой) и линейной (стеблевой) ржавчин пшеницы (Pucciniarecondita и Pucciniagraminis соответственно) относят к базидиальным грибам (класс Basidiomycetes), а возбудителя жёлтой пятнистости (пиренофороза) пшеницы (Pyrenophoratritici-repentis) – к сумчатым (класс Ascomycetes).</w:t>
      </w:r>
    </w:p>
    <w:p w:rsidR="003C1CCF" w:rsidRPr="004E3331" w:rsidRDefault="003C1CCF" w:rsidP="003156F0">
      <w:pPr>
        <w:pStyle w:val="NoSpacing"/>
        <w:spacing w:line="360" w:lineRule="auto"/>
        <w:ind w:firstLine="708"/>
        <w:jc w:val="both"/>
        <w:rPr>
          <w:rFonts w:ascii="Times New Roman" w:hAnsi="Times New Roman"/>
          <w:b/>
          <w:sz w:val="28"/>
        </w:rPr>
      </w:pPr>
      <w:r w:rsidRPr="004E3331">
        <w:rPr>
          <w:rFonts w:ascii="Times New Roman" w:hAnsi="Times New Roman"/>
          <w:b/>
          <w:sz w:val="28"/>
        </w:rPr>
        <w:t>Материалы и методы</w:t>
      </w:r>
    </w:p>
    <w:p w:rsidR="003C1CCF" w:rsidRPr="004E3331" w:rsidRDefault="003C1CCF" w:rsidP="00A31667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 xml:space="preserve">В качестве материала для исследования использовались штаммы грибов, обнаруженных на территории северного Казахстана и образцы зерна, </w:t>
      </w:r>
      <w:r>
        <w:rPr>
          <w:rFonts w:ascii="Times New Roman" w:hAnsi="Times New Roman"/>
          <w:sz w:val="28"/>
        </w:rPr>
        <w:t xml:space="preserve">пораженные грибами рода </w:t>
      </w:r>
      <w:r w:rsidRPr="00A31667">
        <w:rPr>
          <w:rFonts w:ascii="Times New Roman" w:hAnsi="Times New Roman"/>
          <w:sz w:val="28"/>
        </w:rPr>
        <w:t>Pyrenophora</w:t>
      </w:r>
      <w:r>
        <w:rPr>
          <w:rFonts w:ascii="Times New Roman" w:hAnsi="Times New Roman"/>
          <w:sz w:val="28"/>
        </w:rPr>
        <w:t xml:space="preserve"> и </w:t>
      </w:r>
      <w:r w:rsidRPr="00A31667">
        <w:rPr>
          <w:rFonts w:ascii="Times New Roman" w:hAnsi="Times New Roman"/>
          <w:sz w:val="28"/>
        </w:rPr>
        <w:t>Puccinia</w:t>
      </w:r>
      <w:r w:rsidRPr="004E3331">
        <w:rPr>
          <w:rFonts w:ascii="Times New Roman" w:hAnsi="Times New Roman"/>
          <w:sz w:val="28"/>
        </w:rPr>
        <w:t>, а также гербарный материал.</w:t>
      </w:r>
    </w:p>
    <w:p w:rsidR="003C1CCF" w:rsidRPr="004E3331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</w:rPr>
      </w:pPr>
      <w:r w:rsidRPr="004E3331">
        <w:rPr>
          <w:rFonts w:ascii="Times New Roman" w:hAnsi="Times New Roman"/>
          <w:i/>
          <w:sz w:val="28"/>
        </w:rPr>
        <w:t>Выделение ДНК.</w:t>
      </w:r>
    </w:p>
    <w:p w:rsidR="003C1CCF" w:rsidRPr="004E3331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31667">
        <w:rPr>
          <w:rFonts w:ascii="Times New Roman" w:hAnsi="Times New Roman"/>
          <w:sz w:val="28"/>
        </w:rPr>
        <w:t>Для получения обильного мицелия культуру грибов рода Puccinia пересевали на картофельный агар (PDА) и выращивали при 25°С в течение 6 дней, Pyrenophoratritici-repentis выращивали на овсяном (Oatagar) и овощном агаре (V8) при 22°С.</w:t>
      </w:r>
      <w:r w:rsidRPr="004E3331">
        <w:rPr>
          <w:rFonts w:ascii="Times New Roman" w:hAnsi="Times New Roman"/>
          <w:sz w:val="28"/>
        </w:rPr>
        <w:t xml:space="preserve"> Выделение ДНК из грибковых культур и зараженных проростков пшеницы были проведены с помощью коммерческого набора для выделения ДНК «PureLink» производства США. Процедура выделения ДНК проходила в соответствии с инструкцией производителя.</w:t>
      </w:r>
    </w:p>
    <w:p w:rsidR="003C1CCF" w:rsidRPr="004E3331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Концентрацию ДНК определяли с помощью спектрофотометра HaloDNAmasterDynamica («DynamicaGmbH», Великобритания). Перед введением в реакционную cмесь ДНК, выделенную из культур, разбавляли до 10 нг/мл.</w:t>
      </w:r>
    </w:p>
    <w:p w:rsidR="003C1CCF" w:rsidRPr="004E3331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</w:rPr>
      </w:pPr>
      <w:r w:rsidRPr="004E3331">
        <w:rPr>
          <w:rFonts w:ascii="Times New Roman" w:hAnsi="Times New Roman"/>
          <w:i/>
          <w:sz w:val="28"/>
        </w:rPr>
        <w:t>Выбор специфических праймеров и флуоресцентно-меченых зондов</w:t>
      </w:r>
    </w:p>
    <w:p w:rsidR="003C1CCF" w:rsidRPr="004E3331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Поиск нуклеотидных последовательностей для подбора специфических праймеров, осуществляли с помощью онлайн программы GenBank NCBI (http://www.ncbi.nlm.nih.gov/GenBank). Выравнивание нуклеотидных последовательностей было выполнено с использованием алгоритма Clustal W (Thompsonetal., 1994). Работоспособность праймеров и зондов проверяли с использованием программы Oligo 6.71.</w:t>
      </w:r>
    </w:p>
    <w:p w:rsidR="003C1CCF" w:rsidRPr="004E3331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i/>
          <w:sz w:val="28"/>
        </w:rPr>
      </w:pPr>
      <w:r w:rsidRPr="004E3331">
        <w:rPr>
          <w:rFonts w:ascii="Times New Roman" w:hAnsi="Times New Roman"/>
          <w:i/>
          <w:sz w:val="28"/>
        </w:rPr>
        <w:t xml:space="preserve">ПЦР и анализ результатов </w:t>
      </w:r>
    </w:p>
    <w:p w:rsidR="003C1CCF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A31667">
        <w:rPr>
          <w:rFonts w:ascii="Times New Roman" w:hAnsi="Times New Roman"/>
          <w:sz w:val="28"/>
        </w:rPr>
        <w:t>Амплификацию проводили с помощью термоциклераQuantStudio 5 Real-Time PCR System («AppliedBiosystems™», США). В амплификационной смеси следующего состава: 18 мкл 1,25х буфера для ПЦР, 0,24 мкл 25 мМdNTPs, 0,125 мкл каждого праймера (100 мкМ), 0,14 мкл зонда (50 мкМ), 10 мкл раствора Taq-полимеразы, 5 мкл раствора ДНК (Все реагенты производства ООО «Агродиагностика»). Реакцию проводили в соответствии со следующим профилем амплификации: 93ºС - 90 с; 93ºС – 20 с, 64ºС – 5 с, (5 циклов); 93ºС – 1 с, 64º - 15 с, (40 циклов). Для определения значений Cq использовался пороговый метод анализа.</w:t>
      </w:r>
      <w:r w:rsidRPr="00A31667">
        <w:rPr>
          <w:rFonts w:ascii="Times New Roman" w:hAnsi="Times New Roman"/>
          <w:sz w:val="28"/>
        </w:rPr>
        <w:tab/>
      </w:r>
    </w:p>
    <w:p w:rsidR="003C1CCF" w:rsidRDefault="003C1CCF" w:rsidP="004E3331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4E3331">
        <w:rPr>
          <w:rFonts w:ascii="Times New Roman" w:hAnsi="Times New Roman"/>
          <w:sz w:val="28"/>
        </w:rPr>
        <w:t>Детекция результатов ПЦР проводилась методом гель-электрофореза. Электр</w:t>
      </w:r>
      <w:r>
        <w:rPr>
          <w:rFonts w:ascii="Times New Roman" w:hAnsi="Times New Roman"/>
          <w:sz w:val="28"/>
        </w:rPr>
        <w:t>офорез проводили в 2% агарозном геле в буфере T</w:t>
      </w:r>
      <w:r>
        <w:rPr>
          <w:rFonts w:ascii="Times New Roman" w:hAnsi="Times New Roman"/>
          <w:sz w:val="28"/>
          <w:lang w:val="en-US"/>
        </w:rPr>
        <w:t>B</w:t>
      </w:r>
      <w:r w:rsidRPr="004E3331">
        <w:rPr>
          <w:rFonts w:ascii="Times New Roman" w:hAnsi="Times New Roman"/>
          <w:sz w:val="28"/>
        </w:rPr>
        <w:t xml:space="preserve">E. Оценка молекулярной массы фрагментов проводилась с использованием ДНК маркеров молекулярной массой 50 пар оснований (GeneRuler 50 bp DNA ladder, ThermoScientific). Результаты электрофореза визуализировали на гель-документирующей системе QUANTUM модель 1100 SUPER (Viber-Lourmat). </w:t>
      </w:r>
    </w:p>
    <w:p w:rsidR="003C1CCF" w:rsidRPr="00B44C22" w:rsidRDefault="003C1CCF" w:rsidP="003156F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44C22">
        <w:rPr>
          <w:rFonts w:ascii="Times New Roman" w:hAnsi="Times New Roman"/>
          <w:b/>
          <w:sz w:val="28"/>
          <w:szCs w:val="28"/>
        </w:rPr>
        <w:t>Результаты и обсуждение</w:t>
      </w:r>
    </w:p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6F0">
        <w:rPr>
          <w:rFonts w:ascii="Times New Roman" w:hAnsi="Times New Roman"/>
          <w:sz w:val="28"/>
          <w:szCs w:val="28"/>
        </w:rPr>
        <w:t>Поскольку наиболее распространенными локусами, используемыми в качестве мишеней в ПЦР-диагностике фитопатогенных грибов, являются гены «домашнего хозяйства» и участки рибосомальной ДНК (прежде всего, внутренний транскрибируемый спейсер ITS и межгенныйспейсер IGS), в качестве трёх потенциальных мишеней были выбраны ITS, а также гены бета-тубулина и фактора элонгации трансляции 1 альфа (tef1α). В нашей работе наиболее пригодными для дизайна специфических праймеров оказались последовательности внутренних транскрибируемых спейсероврибосомальной ДНК (ITS1-2).</w:t>
      </w:r>
    </w:p>
    <w:p w:rsidR="003C1CCF" w:rsidRPr="003156F0" w:rsidRDefault="003C1CCF" w:rsidP="003156F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  <w:r w:rsidRPr="003156F0">
        <w:rPr>
          <w:rFonts w:ascii="Times New Roman" w:hAnsi="Times New Roman"/>
          <w:sz w:val="28"/>
          <w:szCs w:val="28"/>
        </w:rPr>
        <w:t xml:space="preserve"> – Структуры олигонуклеотидныхпраймеров, использованных для специфической детекции трёх патогенных грибов.</w:t>
      </w:r>
    </w:p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9"/>
        <w:gridCol w:w="1772"/>
        <w:gridCol w:w="1045"/>
        <w:gridCol w:w="4938"/>
      </w:tblGrid>
      <w:tr w:rsidR="003C1CCF" w:rsidRPr="00C8126E" w:rsidTr="00533D35">
        <w:trPr>
          <w:jc w:val="center"/>
        </w:trPr>
        <w:tc>
          <w:tcPr>
            <w:tcW w:w="2112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Пара праймеров</w:t>
            </w:r>
          </w:p>
        </w:tc>
        <w:tc>
          <w:tcPr>
            <w:tcW w:w="1780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Объект(ы)</w:t>
            </w:r>
          </w:p>
        </w:tc>
        <w:tc>
          <w:tcPr>
            <w:tcW w:w="1053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Ген</w:t>
            </w: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5’-</w:t>
            </w:r>
            <w:smartTag w:uri="urn:schemas-microsoft-com:office:smarttags" w:element="metricconverter">
              <w:smartTagPr>
                <w:attr w:name="ProductID" w:val="3’"/>
              </w:smartTagPr>
              <w:r w:rsidRPr="003156F0">
                <w:rPr>
                  <w:rFonts w:ascii="Times New Roman" w:hAnsi="Times New Roman"/>
                  <w:sz w:val="24"/>
                  <w:szCs w:val="28"/>
                </w:rPr>
                <w:t>3’</w:t>
              </w:r>
            </w:smartTag>
            <w:r w:rsidRPr="003156F0">
              <w:rPr>
                <w:rFonts w:ascii="Times New Roman" w:hAnsi="Times New Roman"/>
                <w:sz w:val="24"/>
                <w:szCs w:val="28"/>
              </w:rPr>
              <w:t xml:space="preserve"> последовательность</w:t>
            </w:r>
          </w:p>
        </w:tc>
      </w:tr>
      <w:tr w:rsidR="003C1CCF" w:rsidRPr="00C8126E" w:rsidTr="00533D35">
        <w:trPr>
          <w:jc w:val="center"/>
        </w:trPr>
        <w:tc>
          <w:tcPr>
            <w:tcW w:w="2112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Pgram</w:t>
            </w:r>
          </w:p>
        </w:tc>
        <w:tc>
          <w:tcPr>
            <w:tcW w:w="1780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3156F0">
              <w:rPr>
                <w:rFonts w:ascii="Times New Roman" w:hAnsi="Times New Roman"/>
                <w:i/>
                <w:sz w:val="24"/>
                <w:szCs w:val="28"/>
              </w:rPr>
              <w:t>P. graminis</w:t>
            </w:r>
          </w:p>
        </w:tc>
        <w:tc>
          <w:tcPr>
            <w:tcW w:w="1053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ITS</w:t>
            </w: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GGATGTTGAGTGTTGCTGTACC</w:t>
            </w:r>
          </w:p>
        </w:tc>
      </w:tr>
      <w:tr w:rsidR="003C1CCF" w:rsidRPr="00C8126E" w:rsidTr="00533D35">
        <w:trPr>
          <w:jc w:val="center"/>
        </w:trPr>
        <w:tc>
          <w:tcPr>
            <w:tcW w:w="2112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80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1053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TTGGGTTTTAGGAGTCTCTTATTAAC</w:t>
            </w:r>
          </w:p>
        </w:tc>
      </w:tr>
      <w:tr w:rsidR="003C1CCF" w:rsidRPr="00C8126E" w:rsidTr="00533D35">
        <w:trPr>
          <w:jc w:val="center"/>
        </w:trPr>
        <w:tc>
          <w:tcPr>
            <w:tcW w:w="2112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Prec</w:t>
            </w:r>
          </w:p>
        </w:tc>
        <w:tc>
          <w:tcPr>
            <w:tcW w:w="1780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3156F0">
              <w:rPr>
                <w:rFonts w:ascii="Times New Roman" w:hAnsi="Times New Roman"/>
                <w:i/>
                <w:sz w:val="24"/>
                <w:szCs w:val="28"/>
              </w:rPr>
              <w:t>P. recondita</w:t>
            </w:r>
          </w:p>
        </w:tc>
        <w:tc>
          <w:tcPr>
            <w:tcW w:w="1053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ITS</w:t>
            </w: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AGATCATTGTGATTAAGTATACGTAAT</w:t>
            </w:r>
          </w:p>
        </w:tc>
      </w:tr>
      <w:tr w:rsidR="003C1CCF" w:rsidRPr="00C8126E" w:rsidTr="00533D35">
        <w:trPr>
          <w:jc w:val="center"/>
        </w:trPr>
        <w:tc>
          <w:tcPr>
            <w:tcW w:w="2112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80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1053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GTATGGTTCTTTAGAAGTCTCTTTC</w:t>
            </w:r>
          </w:p>
        </w:tc>
      </w:tr>
      <w:tr w:rsidR="003C1CCF" w:rsidRPr="00C8126E" w:rsidTr="00533D35">
        <w:trPr>
          <w:jc w:val="center"/>
        </w:trPr>
        <w:tc>
          <w:tcPr>
            <w:tcW w:w="2112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Ptr</w:t>
            </w:r>
          </w:p>
        </w:tc>
        <w:tc>
          <w:tcPr>
            <w:tcW w:w="1780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3156F0">
              <w:rPr>
                <w:rFonts w:ascii="Times New Roman" w:hAnsi="Times New Roman"/>
                <w:i/>
                <w:sz w:val="24"/>
                <w:szCs w:val="28"/>
                <w:lang w:val="en-US"/>
              </w:rPr>
              <w:t>P. tritici-repentis</w:t>
            </w:r>
          </w:p>
        </w:tc>
        <w:tc>
          <w:tcPr>
            <w:tcW w:w="1053" w:type="dxa"/>
            <w:vMerge w:val="restart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ITS</w:t>
            </w: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CTGGACAAGAGCGCAAATAATG</w:t>
            </w:r>
          </w:p>
        </w:tc>
      </w:tr>
      <w:tr w:rsidR="003C1CCF" w:rsidRPr="00C8126E" w:rsidTr="00533D35">
        <w:trPr>
          <w:jc w:val="center"/>
        </w:trPr>
        <w:tc>
          <w:tcPr>
            <w:tcW w:w="2112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780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53" w:type="dxa"/>
            <w:vMerge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944" w:type="dxa"/>
            <w:vAlign w:val="center"/>
          </w:tcPr>
          <w:p w:rsidR="003C1CCF" w:rsidRPr="003156F0" w:rsidRDefault="003C1CCF" w:rsidP="003156F0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CCGCCAATTGGACCTTATTC</w:t>
            </w:r>
          </w:p>
        </w:tc>
      </w:tr>
    </w:tbl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6F0">
        <w:rPr>
          <w:rFonts w:ascii="Times New Roman" w:hAnsi="Times New Roman"/>
          <w:sz w:val="28"/>
          <w:szCs w:val="28"/>
        </w:rPr>
        <w:t>Таблица 2 - Перечень подобранных зондов</w:t>
      </w:r>
    </w:p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022"/>
        <w:gridCol w:w="1753"/>
        <w:gridCol w:w="5973"/>
      </w:tblGrid>
      <w:tr w:rsidR="003C1CCF" w:rsidRPr="00C8126E" w:rsidTr="00F9518F">
        <w:trPr>
          <w:trHeight w:val="664"/>
          <w:jc w:val="center"/>
        </w:trPr>
        <w:tc>
          <w:tcPr>
            <w:tcW w:w="0" w:type="auto"/>
            <w:vAlign w:val="center"/>
          </w:tcPr>
          <w:p w:rsidR="003C1CCF" w:rsidRPr="003156F0" w:rsidRDefault="003C1CCF" w:rsidP="00F9518F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Вид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F9518F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Локус (код доступа в </w:t>
            </w: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GenBank</w:t>
            </w: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F9518F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Последовательность, 5'-3'</w:t>
            </w:r>
          </w:p>
        </w:tc>
      </w:tr>
      <w:tr w:rsidR="003C1CCF" w:rsidRPr="00C8126E" w:rsidTr="00F9518F">
        <w:trPr>
          <w:trHeight w:val="920"/>
          <w:jc w:val="center"/>
        </w:trPr>
        <w:tc>
          <w:tcPr>
            <w:tcW w:w="0" w:type="auto"/>
            <w:vAlign w:val="center"/>
          </w:tcPr>
          <w:p w:rsidR="003C1CCF" w:rsidRPr="003156F0" w:rsidRDefault="003C1CCF" w:rsidP="003156F0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6F0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Pucciniagraminis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3156F0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ITS1-ITS2</w:t>
            </w:r>
          </w:p>
          <w:p w:rsidR="003C1CCF" w:rsidRPr="003156F0" w:rsidRDefault="003C1CCF" w:rsidP="003156F0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(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AF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468044.1</w:t>
            </w: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F9518F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(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  <w:t>BHQ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 xml:space="preserve">1) 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  <w:t>-</w:t>
            </w: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AAAGGTGCAAGA(FAMdT)GCGTTCAAAGATTCGAT</w:t>
            </w:r>
          </w:p>
        </w:tc>
      </w:tr>
      <w:tr w:rsidR="003C1CCF" w:rsidRPr="00C8126E" w:rsidTr="00F9518F">
        <w:trPr>
          <w:trHeight w:val="708"/>
          <w:jc w:val="center"/>
        </w:trPr>
        <w:tc>
          <w:tcPr>
            <w:tcW w:w="0" w:type="auto"/>
            <w:vAlign w:val="center"/>
          </w:tcPr>
          <w:p w:rsidR="003C1CCF" w:rsidRPr="003156F0" w:rsidRDefault="003C1CCF" w:rsidP="003156F0">
            <w:pPr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val="en-US"/>
              </w:rPr>
              <w:t>Pucciniarecondita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3156F0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ITS1-ITS2</w:t>
            </w:r>
          </w:p>
          <w:p w:rsidR="003C1CCF" w:rsidRPr="003156F0" w:rsidRDefault="003C1CCF" w:rsidP="003156F0">
            <w:pPr>
              <w:suppressLineNumbers/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(</w:t>
            </w:r>
            <w:r w:rsidRPr="003156F0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ar-SA"/>
              </w:rPr>
              <w:t>EU014045.1</w:t>
            </w: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F9518F">
            <w:pPr>
              <w:suppressLineNumbers/>
              <w:suppressAutoHyphens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(BHQ1)-TCGAATCTTTGA</w:t>
            </w: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(FAMdT)</w:t>
            </w: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ACGCACATTGCGC</w:t>
            </w:r>
          </w:p>
        </w:tc>
      </w:tr>
      <w:tr w:rsidR="003C1CCF" w:rsidRPr="00C8126E" w:rsidTr="00F9518F">
        <w:trPr>
          <w:trHeight w:val="930"/>
          <w:jc w:val="center"/>
        </w:trPr>
        <w:tc>
          <w:tcPr>
            <w:tcW w:w="0" w:type="auto"/>
            <w:vAlign w:val="center"/>
          </w:tcPr>
          <w:p w:rsidR="003C1CCF" w:rsidRPr="003156F0" w:rsidRDefault="003C1CCF" w:rsidP="003156F0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Pyrenophoratritici-repentis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3156F0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eastAsia="ar-SA"/>
              </w:rPr>
              <w:t>ITS1-ITS2</w:t>
            </w:r>
          </w:p>
          <w:p w:rsidR="003C1CCF" w:rsidRPr="003156F0" w:rsidRDefault="003C1CCF" w:rsidP="003156F0">
            <w:pPr>
              <w:suppressLineNumbers/>
              <w:suppressAutoHyphens/>
              <w:snapToGri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(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AM887495.1</w:t>
            </w:r>
            <w:r w:rsidRPr="003156F0">
              <w:rPr>
                <w:rFonts w:ascii="Times New Roman" w:hAnsi="Times New Roman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0" w:type="auto"/>
            <w:vAlign w:val="center"/>
          </w:tcPr>
          <w:p w:rsidR="003C1CCF" w:rsidRPr="003156F0" w:rsidRDefault="003C1CCF" w:rsidP="00F9518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(BHQ1) - </w:t>
            </w:r>
            <w:r w:rsidRPr="003156F0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CTTGGTGT(FAMd</w:t>
            </w:r>
            <w:r w:rsidRPr="003156F0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156F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)GGGCGTCTTGTCTCTCTCCC</w:t>
            </w:r>
          </w:p>
        </w:tc>
      </w:tr>
    </w:tbl>
    <w:p w:rsidR="003C1CCF" w:rsidRPr="003156F0" w:rsidRDefault="003C1CCF" w:rsidP="003156F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C1CCF" w:rsidRPr="003156F0" w:rsidRDefault="003C1CCF" w:rsidP="003156F0">
      <w:pPr>
        <w:spacing w:before="280"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3156F0">
        <w:rPr>
          <w:rFonts w:ascii="Times New Roman" w:hAnsi="Times New Roman"/>
          <w:sz w:val="28"/>
          <w:szCs w:val="28"/>
          <w:lang w:eastAsia="ar-SA"/>
        </w:rPr>
        <w:t xml:space="preserve">Во всех случаях значение флуоресценции IC зонда превысило в 2,5 раза уровень его фоновой флуоресценции, что указывает на отсутствие ингибирования ПЦР. В вариантах осуществления, где Наблюдаемое образование специфического продукта ПЦР меньше, чем VC сигнала в несколько раз по сравнению с вариантами, в которых формирование конкретного продукта не происходит. Результаты ДНК одной споровых культур </w:t>
      </w:r>
      <w:r w:rsidRPr="00F9518F">
        <w:rPr>
          <w:rFonts w:ascii="Times New Roman" w:hAnsi="Times New Roman"/>
          <w:sz w:val="28"/>
          <w:szCs w:val="28"/>
          <w:lang w:eastAsia="ar-SA"/>
        </w:rPr>
        <w:t>P. graminis, P. recondita</w:t>
      </w:r>
      <w:r w:rsidRPr="003156F0">
        <w:rPr>
          <w:rFonts w:ascii="Times New Roman" w:hAnsi="Times New Roman"/>
          <w:sz w:val="28"/>
          <w:szCs w:val="28"/>
          <w:lang w:eastAsia="ar-SA"/>
        </w:rPr>
        <w:t xml:space="preserve">и </w:t>
      </w:r>
      <w:r w:rsidRPr="00F9518F">
        <w:rPr>
          <w:rFonts w:ascii="Times New Roman" w:hAnsi="Times New Roman"/>
          <w:sz w:val="28"/>
          <w:szCs w:val="28"/>
          <w:lang w:eastAsia="ar-SA"/>
        </w:rPr>
        <w:t>P. tritici-repentis</w:t>
      </w:r>
      <w:r w:rsidRPr="003156F0">
        <w:rPr>
          <w:rFonts w:ascii="Times New Roman" w:hAnsi="Times New Roman"/>
          <w:sz w:val="28"/>
          <w:szCs w:val="28"/>
          <w:lang w:eastAsia="ar-SA"/>
        </w:rPr>
        <w:t>с помощью количественной ПЦР с использованием прайм</w:t>
      </w:r>
      <w:r>
        <w:rPr>
          <w:rFonts w:ascii="Times New Roman" w:hAnsi="Times New Roman"/>
          <w:sz w:val="28"/>
          <w:szCs w:val="28"/>
          <w:lang w:eastAsia="ar-SA"/>
        </w:rPr>
        <w:t xml:space="preserve">еры для бета-тубулина гена и </w:t>
      </w:r>
      <w:r>
        <w:rPr>
          <w:rFonts w:ascii="Times New Roman" w:hAnsi="Times New Roman"/>
          <w:sz w:val="28"/>
          <w:szCs w:val="28"/>
          <w:lang w:val="en-US" w:eastAsia="ar-SA"/>
        </w:rPr>
        <w:t>ITS</w:t>
      </w:r>
      <w:r w:rsidRPr="003156F0">
        <w:rPr>
          <w:rFonts w:ascii="Times New Roman" w:hAnsi="Times New Roman"/>
          <w:sz w:val="28"/>
          <w:szCs w:val="28"/>
          <w:lang w:eastAsia="ar-SA"/>
        </w:rPr>
        <w:t xml:space="preserve"> приведены в таблице 3.</w:t>
      </w:r>
    </w:p>
    <w:p w:rsidR="003C1CCF" w:rsidRPr="003156F0" w:rsidRDefault="003C1CCF" w:rsidP="003156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231F20"/>
          <w:sz w:val="28"/>
          <w:szCs w:val="28"/>
        </w:rPr>
      </w:pPr>
    </w:p>
    <w:p w:rsidR="003C1CCF" w:rsidRPr="003156F0" w:rsidRDefault="003C1CCF" w:rsidP="003156F0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156F0">
        <w:rPr>
          <w:rFonts w:ascii="Times New Roman" w:hAnsi="Times New Roman"/>
          <w:sz w:val="28"/>
          <w:szCs w:val="28"/>
        </w:rPr>
        <w:t>Таблица 3 - Результаты амплификации ДНК в режиме «реального времени»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19"/>
        <w:gridCol w:w="1545"/>
        <w:gridCol w:w="1545"/>
        <w:gridCol w:w="1545"/>
      </w:tblGrid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F951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Образец</w:t>
            </w:r>
          </w:p>
        </w:tc>
        <w:tc>
          <w:tcPr>
            <w:tcW w:w="784" w:type="pct"/>
          </w:tcPr>
          <w:p w:rsidR="003C1CCF" w:rsidRPr="003156F0" w:rsidRDefault="003C1CCF" w:rsidP="00F951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Pgram</w:t>
            </w:r>
          </w:p>
        </w:tc>
        <w:tc>
          <w:tcPr>
            <w:tcW w:w="784" w:type="pct"/>
          </w:tcPr>
          <w:p w:rsidR="003C1CCF" w:rsidRPr="003156F0" w:rsidRDefault="003C1CCF" w:rsidP="00F951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Prec</w:t>
            </w:r>
          </w:p>
        </w:tc>
        <w:tc>
          <w:tcPr>
            <w:tcW w:w="784" w:type="pct"/>
          </w:tcPr>
          <w:p w:rsidR="003C1CCF" w:rsidRPr="003156F0" w:rsidRDefault="003C1CCF" w:rsidP="00F9518F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Ptr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9518F">
              <w:rPr>
                <w:rFonts w:ascii="Times New Roman" w:hAnsi="Times New Roman"/>
                <w:sz w:val="24"/>
                <w:szCs w:val="28"/>
                <w:lang w:val="en-US"/>
              </w:rPr>
              <w:t>P</w:t>
            </w:r>
            <w:r w:rsidRPr="00F9518F">
              <w:rPr>
                <w:rFonts w:ascii="Times New Roman" w:hAnsi="Times New Roman"/>
                <w:sz w:val="24"/>
                <w:szCs w:val="28"/>
              </w:rPr>
              <w:t xml:space="preserve">. </w:t>
            </w:r>
            <w:r w:rsidRPr="00F9518F">
              <w:rPr>
                <w:rFonts w:ascii="Times New Roman" w:hAnsi="Times New Roman"/>
                <w:sz w:val="24"/>
                <w:szCs w:val="28"/>
                <w:lang w:val="en-US"/>
              </w:rPr>
              <w:t>graminis</w:t>
            </w:r>
            <w:r w:rsidRPr="003156F0">
              <w:rPr>
                <w:rFonts w:ascii="Times New Roman" w:hAnsi="Times New Roman"/>
                <w:sz w:val="24"/>
                <w:szCs w:val="28"/>
              </w:rPr>
              <w:t xml:space="preserve"> (моносп. к-ра)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(19.0)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9518F">
              <w:rPr>
                <w:rFonts w:ascii="Times New Roman" w:hAnsi="Times New Roman"/>
                <w:sz w:val="24"/>
                <w:szCs w:val="28"/>
                <w:lang w:val="en-US"/>
              </w:rPr>
              <w:t>P</w:t>
            </w:r>
            <w:r w:rsidRPr="00F9518F">
              <w:rPr>
                <w:rFonts w:ascii="Times New Roman" w:hAnsi="Times New Roman"/>
                <w:sz w:val="24"/>
                <w:szCs w:val="28"/>
              </w:rPr>
              <w:t>.</w:t>
            </w:r>
            <w:r w:rsidRPr="00F9518F">
              <w:rPr>
                <w:rFonts w:ascii="Times New Roman" w:hAnsi="Times New Roman"/>
                <w:sz w:val="24"/>
                <w:szCs w:val="28"/>
                <w:lang w:val="en-US"/>
              </w:rPr>
              <w:t>recondita</w:t>
            </w:r>
            <w:r w:rsidRPr="003156F0">
              <w:rPr>
                <w:rFonts w:ascii="Times New Roman" w:hAnsi="Times New Roman"/>
                <w:sz w:val="24"/>
                <w:szCs w:val="28"/>
              </w:rPr>
              <w:t xml:space="preserve"> (моносп. к-ра)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(18.7)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P.tritici-repentis (</w:t>
            </w:r>
            <w:r w:rsidRPr="003156F0">
              <w:rPr>
                <w:rFonts w:ascii="Times New Roman" w:hAnsi="Times New Roman"/>
                <w:sz w:val="24"/>
                <w:szCs w:val="28"/>
              </w:rPr>
              <w:t>моносп</w:t>
            </w: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 xml:space="preserve">. </w:t>
            </w:r>
            <w:r w:rsidRPr="003156F0">
              <w:rPr>
                <w:rFonts w:ascii="Times New Roman" w:hAnsi="Times New Roman"/>
                <w:sz w:val="24"/>
                <w:szCs w:val="28"/>
              </w:rPr>
              <w:t>к</w:t>
            </w: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-</w:t>
            </w:r>
            <w:r w:rsidRPr="003156F0">
              <w:rPr>
                <w:rFonts w:ascii="Times New Roman" w:hAnsi="Times New Roman"/>
                <w:sz w:val="24"/>
                <w:szCs w:val="28"/>
              </w:rPr>
              <w:t>ра</w:t>
            </w:r>
            <w:r w:rsidRPr="003156F0">
              <w:rPr>
                <w:rFonts w:ascii="Times New Roman" w:hAnsi="Times New Roman"/>
                <w:sz w:val="24"/>
                <w:szCs w:val="28"/>
                <w:lang w:val="en-US"/>
              </w:rPr>
              <w:t>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(18.3)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Заражённое растение №1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(25.0)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(22.7)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Заражённое растение №2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(22.3)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(27.0)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(25.7)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Заражённое растение №3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(24.7)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(26.0)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Заражённое растение №4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(25.1)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(28.5)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(28.2)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Заражённое растение №5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(24.2)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(26.3)</w:t>
            </w:r>
          </w:p>
        </w:tc>
      </w:tr>
      <w:tr w:rsidR="003C1CCF" w:rsidRPr="00C8126E" w:rsidTr="00F9518F">
        <w:trPr>
          <w:jc w:val="center"/>
        </w:trPr>
        <w:tc>
          <w:tcPr>
            <w:tcW w:w="2647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Заражённое растение №6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(23.9)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+ (27.3)</w:t>
            </w:r>
          </w:p>
        </w:tc>
        <w:tc>
          <w:tcPr>
            <w:tcW w:w="784" w:type="pct"/>
          </w:tcPr>
          <w:p w:rsidR="003C1CCF" w:rsidRPr="003156F0" w:rsidRDefault="003C1CCF" w:rsidP="003156F0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156F0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</w:tr>
    </w:tbl>
    <w:p w:rsidR="003C1CCF" w:rsidRPr="003156F0" w:rsidRDefault="003C1CCF" w:rsidP="003156F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231F20"/>
          <w:sz w:val="28"/>
          <w:szCs w:val="28"/>
        </w:rPr>
      </w:pPr>
    </w:p>
    <w:p w:rsidR="003C1CCF" w:rsidRPr="003156F0" w:rsidRDefault="003C1CCF" w:rsidP="003156F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yellow"/>
        </w:rPr>
      </w:pPr>
      <w:r w:rsidRPr="003156F0">
        <w:rPr>
          <w:rFonts w:ascii="Times New Roman" w:hAnsi="Times New Roman"/>
          <w:sz w:val="28"/>
          <w:szCs w:val="28"/>
        </w:rPr>
        <w:t>В некоторых образцах нет сигнала от внутреннего контроля, по-видимому, это может быть связано с конкурентным ингибирование специфического образца. Таким образом, ни одна из пар праймеров не показала перекрестной реакции с другими родственными видами.</w:t>
      </w:r>
    </w:p>
    <w:p w:rsidR="003C1CCF" w:rsidRDefault="003C1CCF" w:rsidP="00B44C2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C1CCF" w:rsidRPr="00A31667" w:rsidRDefault="003C1CCF" w:rsidP="00B44C22">
      <w:pPr>
        <w:spacing w:line="360" w:lineRule="auto"/>
        <w:ind w:firstLine="54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D3FC1">
        <w:rPr>
          <w:rFonts w:ascii="Times New Roman" w:hAnsi="Times New Roman"/>
          <w:b/>
          <w:sz w:val="28"/>
          <w:szCs w:val="28"/>
        </w:rPr>
        <w:t>Литература</w:t>
      </w:r>
      <w:r w:rsidRPr="00A31667">
        <w:rPr>
          <w:rFonts w:ascii="Times New Roman" w:hAnsi="Times New Roman"/>
          <w:b/>
          <w:sz w:val="28"/>
          <w:szCs w:val="28"/>
          <w:lang w:val="en-US"/>
        </w:rPr>
        <w:t>:</w:t>
      </w:r>
    </w:p>
    <w:p w:rsidR="003C1CCF" w:rsidRPr="00A31667" w:rsidRDefault="003C1CCF" w:rsidP="00A3166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8B44E3">
        <w:rPr>
          <w:rFonts w:ascii="Times New Roman" w:hAnsi="Times New Roman"/>
          <w:sz w:val="28"/>
          <w:szCs w:val="28"/>
          <w:lang w:val="en-US"/>
        </w:rPr>
        <w:t xml:space="preserve">1. </w:t>
      </w:r>
      <w:r>
        <w:rPr>
          <w:rFonts w:ascii="Times New Roman" w:hAnsi="Times New Roman"/>
          <w:sz w:val="28"/>
          <w:szCs w:val="28"/>
          <w:lang w:val="en-US"/>
        </w:rPr>
        <w:t>Hodson D.</w:t>
      </w:r>
      <w:r w:rsidRPr="00A31667">
        <w:rPr>
          <w:rFonts w:ascii="Times New Roman" w:hAnsi="Times New Roman"/>
          <w:sz w:val="28"/>
          <w:szCs w:val="28"/>
          <w:lang w:val="en-US"/>
        </w:rPr>
        <w:t xml:space="preserve"> Global cereal r</w:t>
      </w:r>
      <w:r>
        <w:rPr>
          <w:rFonts w:ascii="Times New Roman" w:hAnsi="Times New Roman"/>
          <w:sz w:val="28"/>
          <w:szCs w:val="28"/>
          <w:lang w:val="en-US"/>
        </w:rPr>
        <w:t xml:space="preserve">ust surveillance and monitoring // </w:t>
      </w:r>
      <w:r w:rsidRPr="008B44E3">
        <w:rPr>
          <w:rFonts w:ascii="Times New Roman" w:hAnsi="Times New Roman"/>
          <w:sz w:val="28"/>
          <w:szCs w:val="28"/>
          <w:lang w:val="en-US"/>
        </w:rPr>
        <w:t>Hodson D., Hovmoller M.</w:t>
      </w:r>
      <w:r w:rsidRPr="00A31667">
        <w:rPr>
          <w:rFonts w:ascii="Times New Roman" w:hAnsi="Times New Roman"/>
          <w:sz w:val="28"/>
          <w:szCs w:val="28"/>
          <w:lang w:val="en-US"/>
        </w:rPr>
        <w:t xml:space="preserve"> Abstracts of 4th Regional yellow rust conference for CWANA, 2009. </w:t>
      </w:r>
      <w:r w:rsidRPr="00FF54CD">
        <w:rPr>
          <w:rFonts w:ascii="Times New Roman" w:hAnsi="Times New Roman"/>
          <w:sz w:val="28"/>
          <w:szCs w:val="28"/>
          <w:lang w:val="en-US"/>
        </w:rPr>
        <w:t>-</w:t>
      </w:r>
      <w:r w:rsidRPr="00A31667">
        <w:rPr>
          <w:rFonts w:ascii="Times New Roman" w:hAnsi="Times New Roman"/>
          <w:sz w:val="28"/>
          <w:szCs w:val="28"/>
          <w:lang w:val="en-US"/>
        </w:rPr>
        <w:t>P. 5.</w:t>
      </w:r>
    </w:p>
    <w:p w:rsidR="003C1CCF" w:rsidRPr="00A31667" w:rsidRDefault="003C1CCF" w:rsidP="00A3166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A31667">
        <w:rPr>
          <w:rFonts w:ascii="Times New Roman" w:hAnsi="Times New Roman"/>
          <w:sz w:val="28"/>
          <w:szCs w:val="28"/>
          <w:lang w:val="en-US"/>
        </w:rPr>
        <w:t>2. Pett B. Wheat diseases and pests observation for selection of resistant varieties in Tajikistan</w:t>
      </w:r>
      <w:r w:rsidRPr="00FF54CD">
        <w:rPr>
          <w:rFonts w:ascii="Times New Roman" w:hAnsi="Times New Roman"/>
          <w:sz w:val="28"/>
          <w:szCs w:val="28"/>
          <w:lang w:val="en-US"/>
        </w:rPr>
        <w:t xml:space="preserve"> // Pett B., Muminjanov H., Morgunov A., Madaminov V., Rahmatov M., Sarkisova T.</w:t>
      </w:r>
      <w:r w:rsidRPr="00A31667">
        <w:rPr>
          <w:rFonts w:ascii="Times New Roman" w:hAnsi="Times New Roman"/>
          <w:sz w:val="28"/>
          <w:szCs w:val="28"/>
          <w:lang w:val="en-US"/>
        </w:rPr>
        <w:t>Agromeridian, Theoretical and Applied Agricultural Research Journal. 1, 2005.</w:t>
      </w:r>
      <w:r w:rsidRPr="00FF54CD">
        <w:rPr>
          <w:rFonts w:ascii="Times New Roman" w:hAnsi="Times New Roman"/>
          <w:sz w:val="28"/>
          <w:szCs w:val="28"/>
          <w:lang w:val="en-US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 xml:space="preserve">p. </w:t>
      </w:r>
      <w:r w:rsidRPr="00A31667">
        <w:rPr>
          <w:rFonts w:ascii="Times New Roman" w:hAnsi="Times New Roman"/>
          <w:sz w:val="28"/>
          <w:szCs w:val="28"/>
          <w:lang w:val="en-US"/>
        </w:rPr>
        <w:t>83-87.</w:t>
      </w:r>
    </w:p>
    <w:p w:rsidR="003C1CCF" w:rsidRPr="00C42C68" w:rsidRDefault="003C1CCF" w:rsidP="00A3166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3. Pretorius Z.A.</w:t>
      </w:r>
      <w:r w:rsidRPr="00A31667">
        <w:rPr>
          <w:rFonts w:ascii="Times New Roman" w:hAnsi="Times New Roman"/>
          <w:sz w:val="28"/>
          <w:szCs w:val="28"/>
          <w:lang w:val="en-US"/>
        </w:rPr>
        <w:t xml:space="preserve"> Detection of virulence to wheat stem rust resistance genes Sr31 in Pucciniagraminis f. sp. Tritici in Uganda</w:t>
      </w:r>
      <w:r w:rsidRPr="00C42C68">
        <w:rPr>
          <w:rFonts w:ascii="Times New Roman" w:hAnsi="Times New Roman"/>
          <w:sz w:val="28"/>
          <w:szCs w:val="28"/>
          <w:lang w:val="en-US"/>
        </w:rPr>
        <w:t xml:space="preserve"> // Pretorius Z.A., Singli R.P., Wagoire W.W., Payne T.S.</w:t>
      </w:r>
      <w:r w:rsidRPr="00A31667">
        <w:rPr>
          <w:rFonts w:ascii="Times New Roman" w:hAnsi="Times New Roman"/>
          <w:sz w:val="28"/>
          <w:szCs w:val="28"/>
          <w:lang w:val="en-US"/>
        </w:rPr>
        <w:t xml:space="preserve"> Plant Disease. </w:t>
      </w:r>
      <w:r w:rsidRPr="00C42C68">
        <w:rPr>
          <w:rFonts w:ascii="Times New Roman" w:hAnsi="Times New Roman"/>
          <w:sz w:val="28"/>
          <w:szCs w:val="28"/>
        </w:rPr>
        <w:t>84, 2000.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C42C68">
        <w:rPr>
          <w:rFonts w:ascii="Times New Roman" w:hAnsi="Times New Roman"/>
          <w:sz w:val="28"/>
          <w:szCs w:val="28"/>
        </w:rPr>
        <w:t xml:space="preserve">. 203. </w:t>
      </w:r>
    </w:p>
    <w:p w:rsidR="003C1CCF" w:rsidRDefault="003C1CCF" w:rsidP="00A3166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Плахотник В.В.</w:t>
      </w:r>
      <w:r w:rsidRPr="00A31667">
        <w:rPr>
          <w:rFonts w:ascii="Times New Roman" w:hAnsi="Times New Roman"/>
          <w:sz w:val="28"/>
          <w:szCs w:val="28"/>
        </w:rPr>
        <w:t xml:space="preserve"> Стеблевая ржавчина на Севере Казахстана и устойчивость к ней образцов коллекции яровой пшеницы (ВНИИЗХ)</w:t>
      </w:r>
      <w:r>
        <w:rPr>
          <w:rFonts w:ascii="Times New Roman" w:hAnsi="Times New Roman"/>
          <w:sz w:val="28"/>
          <w:szCs w:val="28"/>
        </w:rPr>
        <w:t xml:space="preserve"> // </w:t>
      </w:r>
      <w:r w:rsidRPr="00C42C68">
        <w:rPr>
          <w:rFonts w:ascii="Times New Roman" w:hAnsi="Times New Roman"/>
          <w:sz w:val="28"/>
          <w:szCs w:val="28"/>
        </w:rPr>
        <w:t xml:space="preserve">Плахотник В.В. </w:t>
      </w:r>
      <w:r w:rsidRPr="00A31667">
        <w:rPr>
          <w:rFonts w:ascii="Times New Roman" w:hAnsi="Times New Roman"/>
          <w:sz w:val="28"/>
          <w:szCs w:val="28"/>
        </w:rPr>
        <w:t xml:space="preserve"> Третье всесоюзное совещание по им</w:t>
      </w:r>
      <w:r>
        <w:rPr>
          <w:rFonts w:ascii="Times New Roman" w:hAnsi="Times New Roman"/>
          <w:sz w:val="28"/>
          <w:szCs w:val="28"/>
        </w:rPr>
        <w:t>мунитету растений. Киев</w:t>
      </w:r>
      <w:r w:rsidRPr="00A31667">
        <w:rPr>
          <w:rFonts w:ascii="Times New Roman" w:hAnsi="Times New Roman"/>
          <w:sz w:val="28"/>
          <w:szCs w:val="28"/>
        </w:rPr>
        <w:t xml:space="preserve">, 1969. </w:t>
      </w:r>
      <w:r>
        <w:rPr>
          <w:rFonts w:ascii="Times New Roman" w:hAnsi="Times New Roman"/>
          <w:sz w:val="28"/>
          <w:szCs w:val="28"/>
        </w:rPr>
        <w:t xml:space="preserve">– с. </w:t>
      </w:r>
      <w:r w:rsidRPr="00A31667">
        <w:rPr>
          <w:rFonts w:ascii="Times New Roman" w:hAnsi="Times New Roman"/>
          <w:sz w:val="28"/>
          <w:szCs w:val="28"/>
        </w:rPr>
        <w:t>72-75.</w:t>
      </w:r>
    </w:p>
    <w:p w:rsidR="003C1CCF" w:rsidRDefault="003C1CCF" w:rsidP="00A3166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0569F">
        <w:rPr>
          <w:rFonts w:ascii="Times New Roman" w:hAnsi="Times New Roman"/>
          <w:sz w:val="28"/>
          <w:szCs w:val="28"/>
        </w:rPr>
        <w:t>Данная работа проводилась в рамках государственного грантового финансирования научных проектов Республики Казахстан</w:t>
      </w:r>
      <w:r>
        <w:rPr>
          <w:rFonts w:ascii="Times New Roman" w:hAnsi="Times New Roman"/>
          <w:sz w:val="28"/>
          <w:szCs w:val="28"/>
        </w:rPr>
        <w:t xml:space="preserve"> 2015-2017 гг. МОН РК: № 2472</w:t>
      </w:r>
      <w:r w:rsidRPr="0040569F">
        <w:rPr>
          <w:rFonts w:ascii="Times New Roman" w:hAnsi="Times New Roman"/>
          <w:sz w:val="28"/>
          <w:szCs w:val="28"/>
        </w:rPr>
        <w:t>/ГФ4 «</w:t>
      </w:r>
      <w:r w:rsidRPr="001E0DC5">
        <w:rPr>
          <w:rFonts w:ascii="Times New Roman" w:hAnsi="Times New Roman"/>
          <w:sz w:val="28"/>
          <w:szCs w:val="28"/>
        </w:rPr>
        <w:t>Разработка выс</w:t>
      </w:r>
      <w:r>
        <w:rPr>
          <w:rFonts w:ascii="Times New Roman" w:hAnsi="Times New Roman"/>
          <w:sz w:val="28"/>
          <w:szCs w:val="28"/>
        </w:rPr>
        <w:t>окоспецифичных и чувствительных эксп</w:t>
      </w:r>
      <w:r w:rsidRPr="001E0DC5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сс-тесто</w:t>
      </w:r>
      <w:r w:rsidRPr="001E0DC5">
        <w:rPr>
          <w:rFonts w:ascii="Times New Roman" w:hAnsi="Times New Roman"/>
          <w:sz w:val="28"/>
          <w:szCs w:val="28"/>
        </w:rPr>
        <w:t>в на основе ДНК-маркеров для диагностики экономически</w:t>
      </w:r>
      <w:r>
        <w:rPr>
          <w:rFonts w:ascii="Times New Roman" w:hAnsi="Times New Roman"/>
          <w:sz w:val="28"/>
          <w:szCs w:val="28"/>
        </w:rPr>
        <w:t xml:space="preserve"> значимых </w:t>
      </w:r>
      <w:r w:rsidRPr="001E0DC5">
        <w:rPr>
          <w:rFonts w:ascii="Times New Roman" w:hAnsi="Times New Roman"/>
          <w:sz w:val="28"/>
          <w:szCs w:val="28"/>
        </w:rPr>
        <w:t>грибов-патогенов зерновых культур</w:t>
      </w:r>
      <w:r w:rsidRPr="0040569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(гос. № 0115РК01589)</w:t>
      </w:r>
    </w:p>
    <w:sectPr w:rsidR="003C1CCF" w:rsidSect="0003227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E68"/>
    <w:multiLevelType w:val="hybridMultilevel"/>
    <w:tmpl w:val="CBB0A506"/>
    <w:lvl w:ilvl="0" w:tplc="87EE2A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3F058C9"/>
    <w:multiLevelType w:val="hybridMultilevel"/>
    <w:tmpl w:val="F0C2E9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E01"/>
    <w:rsid w:val="00032273"/>
    <w:rsid w:val="00082FDE"/>
    <w:rsid w:val="00085F67"/>
    <w:rsid w:val="000F0E01"/>
    <w:rsid w:val="000F4888"/>
    <w:rsid w:val="001304EE"/>
    <w:rsid w:val="001439D5"/>
    <w:rsid w:val="001C6C0C"/>
    <w:rsid w:val="001E0DC5"/>
    <w:rsid w:val="003156F0"/>
    <w:rsid w:val="00386FC8"/>
    <w:rsid w:val="00390792"/>
    <w:rsid w:val="003C1CCF"/>
    <w:rsid w:val="003D7E6B"/>
    <w:rsid w:val="003E0C5D"/>
    <w:rsid w:val="0040569F"/>
    <w:rsid w:val="0046651F"/>
    <w:rsid w:val="004764EB"/>
    <w:rsid w:val="004E3331"/>
    <w:rsid w:val="00515591"/>
    <w:rsid w:val="00533082"/>
    <w:rsid w:val="00533D35"/>
    <w:rsid w:val="005A270E"/>
    <w:rsid w:val="0060739B"/>
    <w:rsid w:val="00655D09"/>
    <w:rsid w:val="00671FF9"/>
    <w:rsid w:val="0067785C"/>
    <w:rsid w:val="007232C8"/>
    <w:rsid w:val="007B3687"/>
    <w:rsid w:val="00843935"/>
    <w:rsid w:val="008A2DA1"/>
    <w:rsid w:val="008B44E3"/>
    <w:rsid w:val="008E12E5"/>
    <w:rsid w:val="00912446"/>
    <w:rsid w:val="00965F80"/>
    <w:rsid w:val="00A1583F"/>
    <w:rsid w:val="00A31667"/>
    <w:rsid w:val="00A321C8"/>
    <w:rsid w:val="00B44C22"/>
    <w:rsid w:val="00C42C68"/>
    <w:rsid w:val="00C8126E"/>
    <w:rsid w:val="00CD3FC1"/>
    <w:rsid w:val="00DE681E"/>
    <w:rsid w:val="00F0579F"/>
    <w:rsid w:val="00F34CC1"/>
    <w:rsid w:val="00F715BE"/>
    <w:rsid w:val="00F9518F"/>
    <w:rsid w:val="00FF5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39B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D7E6B"/>
    <w:rPr>
      <w:lang w:val="ru-RU"/>
    </w:rPr>
  </w:style>
  <w:style w:type="paragraph" w:styleId="ListParagraph">
    <w:name w:val="List Paragraph"/>
    <w:basedOn w:val="Normal"/>
    <w:uiPriority w:val="99"/>
    <w:qFormat/>
    <w:rsid w:val="00CD3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6</Pages>
  <Words>5982</Words>
  <Characters>3411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alser</dc:creator>
  <cp:keywords/>
  <dc:description/>
  <cp:lastModifiedBy>Admin</cp:lastModifiedBy>
  <cp:revision>26</cp:revision>
  <dcterms:created xsi:type="dcterms:W3CDTF">2017-09-28T04:05:00Z</dcterms:created>
  <dcterms:modified xsi:type="dcterms:W3CDTF">2017-10-01T20:04:00Z</dcterms:modified>
</cp:coreProperties>
</file>