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AA" w:rsidRPr="00BE4D1B" w:rsidRDefault="004B65AA" w:rsidP="00097A4B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4D1B">
        <w:rPr>
          <w:rFonts w:ascii="Times New Roman" w:hAnsi="Times New Roman"/>
          <w:b/>
          <w:color w:val="000000"/>
          <w:sz w:val="28"/>
          <w:szCs w:val="28"/>
        </w:rPr>
        <w:t>Наталья Дмитрович</w:t>
      </w:r>
    </w:p>
    <w:p w:rsidR="004B65AA" w:rsidRPr="00BE4D1B" w:rsidRDefault="004B65AA" w:rsidP="00097A4B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BE4D1B">
        <w:rPr>
          <w:rFonts w:ascii="Times New Roman" w:hAnsi="Times New Roman"/>
          <w:b/>
          <w:color w:val="000000"/>
          <w:sz w:val="28"/>
          <w:szCs w:val="28"/>
        </w:rPr>
        <w:t xml:space="preserve"> (Пинск, Республика Беларусь)</w:t>
      </w:r>
    </w:p>
    <w:p w:rsidR="004B65AA" w:rsidRPr="00BE4D1B" w:rsidRDefault="004B65AA" w:rsidP="00097A4B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4D1B">
        <w:rPr>
          <w:rFonts w:ascii="Times New Roman" w:hAnsi="Times New Roman"/>
          <w:b/>
          <w:color w:val="000000"/>
          <w:sz w:val="28"/>
          <w:szCs w:val="28"/>
        </w:rPr>
        <w:t xml:space="preserve">Тамара Козлова </w:t>
      </w:r>
    </w:p>
    <w:p w:rsidR="004B65AA" w:rsidRPr="00BE4D1B" w:rsidRDefault="004B65AA" w:rsidP="00097A4B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BE4D1B">
        <w:rPr>
          <w:rFonts w:ascii="Times New Roman" w:hAnsi="Times New Roman"/>
          <w:b/>
          <w:color w:val="000000"/>
          <w:sz w:val="28"/>
          <w:szCs w:val="28"/>
        </w:rPr>
        <w:t>(Гродно, Республика Беларусь)</w:t>
      </w:r>
    </w:p>
    <w:p w:rsidR="004B65AA" w:rsidRPr="00BE4D1B" w:rsidRDefault="004B65AA" w:rsidP="00BE4D1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B65AA" w:rsidRDefault="004B65AA" w:rsidP="00097A4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C4965">
        <w:rPr>
          <w:rFonts w:ascii="Times New Roman" w:hAnsi="Times New Roman"/>
          <w:b/>
          <w:color w:val="000000"/>
          <w:sz w:val="28"/>
          <w:szCs w:val="28"/>
        </w:rPr>
        <w:t>ВЛИЯНИЕ ПИТАТЕЛЬНОЙ СРЕДЫ И ИНТЕНСИВНОСТИ БАРБОТАЖА НА ДИНАМИКУ ФИЗИОЛОГИЧЕСКИХ ПАРАМЕТРОВ ИТЕМП РОСТА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8C4965">
        <w:rPr>
          <w:rFonts w:ascii="Times New Roman" w:hAnsi="Times New Roman"/>
          <w:b/>
          <w:i/>
          <w:color w:val="000000"/>
          <w:sz w:val="28"/>
          <w:szCs w:val="28"/>
        </w:rPr>
        <w:t>SCENEDESMUS ACUTUS</w:t>
      </w:r>
      <w:r w:rsidRPr="008C4965">
        <w:rPr>
          <w:rFonts w:ascii="Times New Roman" w:hAnsi="Times New Roman"/>
          <w:b/>
          <w:color w:val="000000"/>
          <w:sz w:val="28"/>
          <w:szCs w:val="28"/>
        </w:rPr>
        <w:t>MEYEN</w:t>
      </w:r>
    </w:p>
    <w:p w:rsidR="004B65AA" w:rsidRPr="00BE4D1B" w:rsidRDefault="004B65AA" w:rsidP="00097A4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B65AA" w:rsidRPr="008C4965" w:rsidRDefault="004B65AA" w:rsidP="00097A4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4965">
        <w:rPr>
          <w:rFonts w:ascii="Times New Roman" w:hAnsi="Times New Roman"/>
          <w:b/>
          <w:color w:val="000000"/>
          <w:sz w:val="28"/>
          <w:szCs w:val="28"/>
        </w:rPr>
        <w:t>Введение.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Основным достоинством водорослей является физиолого-биохимическое разнообразие и лабильность химического состава, что позволяет осуществлять управляемый биосинтез ценных химических природных соединений </w:t>
      </w:r>
      <w:r w:rsidRPr="008C4965">
        <w:rPr>
          <w:rFonts w:ascii="Times New Roman" w:hAnsi="Times New Roman"/>
          <w:color w:val="000000"/>
          <w:sz w:val="28"/>
          <w:szCs w:val="24"/>
        </w:rPr>
        <w:t>[1, 2, 3, 4]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8C4965">
        <w:rPr>
          <w:rFonts w:ascii="Times New Roman" w:hAnsi="Times New Roman"/>
          <w:color w:val="000000"/>
          <w:sz w:val="28"/>
        </w:rPr>
        <w:t xml:space="preserve">Как известно, одним из решающих факторов, определяющих продуктивность культур водорослей и их химический состав, является содержание биогенных элементов в питательных средах для культивирования [5]. </w:t>
      </w:r>
      <w:r w:rsidRPr="008C4965">
        <w:rPr>
          <w:rFonts w:ascii="Times New Roman" w:hAnsi="Times New Roman"/>
          <w:color w:val="000000"/>
          <w:sz w:val="28"/>
          <w:szCs w:val="28"/>
        </w:rPr>
        <w:t>В процессе своего роста водоросли используют углекислый газ и производят кислород. Для этого важно обеспечить поступление CO</w:t>
      </w:r>
      <w:r w:rsidRPr="008C496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2 </w:t>
      </w:r>
      <w:r w:rsidRPr="008C4965">
        <w:rPr>
          <w:rFonts w:ascii="Times New Roman" w:hAnsi="Times New Roman"/>
          <w:color w:val="000000"/>
          <w:sz w:val="28"/>
          <w:szCs w:val="28"/>
        </w:rPr>
        <w:t>в достаточном количестве, а в процессе культивирования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8C4965">
        <w:rPr>
          <w:rFonts w:ascii="Times New Roman" w:hAnsi="Times New Roman"/>
          <w:color w:val="000000"/>
          <w:sz w:val="28"/>
          <w:szCs w:val="28"/>
        </w:rPr>
        <w:t xml:space="preserve"> перемешивание культуры для поддержания оптимальных условий роста клеток и отвода вырабатываемого кислорода. Перемешивание можно осуществлять путем подачи воздуха (барботаж).</w:t>
      </w:r>
    </w:p>
    <w:p w:rsidR="004B65AA" w:rsidRPr="008C4965" w:rsidRDefault="004B65AA" w:rsidP="0086669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>Условия культивирования водорослей и состав питательной среды влияют на физиологическое состояние водорослей. Для этих целей разработано достаточно много методов контроля. Показателем физиологического состояния могут быть данные о составе, концентрации и соотношении растительных пигментов в клетках водорослей[6]. Известно, что периодам интенсивного развития водорослей соответствует увеличение концентрации пигментов в их клетках.</w:t>
      </w:r>
      <w:r>
        <w:rPr>
          <w:rFonts w:ascii="Times New Roman" w:hAnsi="Times New Roman"/>
          <w:color w:val="000000"/>
          <w:sz w:val="28"/>
          <w:szCs w:val="24"/>
          <w:lang w:val="uk-UA" w:eastAsia="ru-RU"/>
        </w:rPr>
        <w:t xml:space="preserve"> 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Это дает возможность судить о продуктивности водорослей по концентрации хлорофилла, главным образом, хлорофилла </w:t>
      </w:r>
      <w:r w:rsidRPr="008C4965">
        <w:rPr>
          <w:rFonts w:ascii="Times New Roman" w:hAnsi="Times New Roman"/>
          <w:i/>
          <w:color w:val="000000"/>
          <w:sz w:val="28"/>
          <w:szCs w:val="24"/>
          <w:lang w:eastAsia="ru-RU"/>
        </w:rPr>
        <w:t>а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[7].Объективным показателем</w:t>
      </w:r>
      <w:r>
        <w:rPr>
          <w:rFonts w:ascii="Times New Roman" w:hAnsi="Times New Roman"/>
          <w:color w:val="000000"/>
          <w:sz w:val="28"/>
          <w:szCs w:val="24"/>
          <w:lang w:val="uk-UA" w:eastAsia="ru-RU"/>
        </w:rPr>
        <w:t xml:space="preserve"> 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>физиологического состояния водорослей является соотношение</w:t>
      </w:r>
      <w:r>
        <w:rPr>
          <w:rFonts w:ascii="Times New Roman" w:hAnsi="Times New Roman"/>
          <w:color w:val="000000"/>
          <w:sz w:val="28"/>
          <w:szCs w:val="24"/>
          <w:lang w:val="uk-UA" w:eastAsia="ru-RU"/>
        </w:rPr>
        <w:t xml:space="preserve"> 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общих каротиноидов к хлорофиллу </w:t>
      </w:r>
      <w:r w:rsidRPr="008C4965">
        <w:rPr>
          <w:rFonts w:ascii="Times New Roman" w:hAnsi="Times New Roman"/>
          <w:i/>
          <w:color w:val="000000"/>
          <w:sz w:val="28"/>
          <w:szCs w:val="24"/>
          <w:lang w:eastAsia="ru-RU"/>
        </w:rPr>
        <w:t>а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(Ск/Схл), так называемый желто-зеленый индекс [8]. Каротиноиды представляют собой более стабильный компонент пигментной системы, чем хлорофилл </w:t>
      </w:r>
      <w:r w:rsidRPr="008C4965">
        <w:rPr>
          <w:rFonts w:ascii="Times New Roman" w:hAnsi="Times New Roman"/>
          <w:i/>
          <w:color w:val="000000"/>
          <w:sz w:val="28"/>
          <w:szCs w:val="24"/>
          <w:lang w:eastAsia="ru-RU"/>
        </w:rPr>
        <w:t>а.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Усиление в клетках каротиногенеза или разрушения хлорофилла свидетельствует о замедлении процессов метаболизма и ухудшении физиологического состояния водорослей [6].</w:t>
      </w:r>
    </w:p>
    <w:p w:rsidR="004B65AA" w:rsidRPr="008C4965" w:rsidRDefault="004B65AA" w:rsidP="00627E9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8C4965">
        <w:rPr>
          <w:rFonts w:ascii="Times New Roman" w:hAnsi="Times New Roman"/>
          <w:b/>
          <w:color w:val="000000"/>
          <w:sz w:val="28"/>
          <w:szCs w:val="24"/>
          <w:lang w:eastAsia="ru-RU"/>
        </w:rPr>
        <w:t>Методика и объекты исследования.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Водоросль </w:t>
      </w:r>
      <w:r w:rsidRPr="008C4965">
        <w:rPr>
          <w:rFonts w:ascii="Times New Roman" w:hAnsi="Times New Roman"/>
          <w:i/>
          <w:color w:val="000000"/>
          <w:sz w:val="28"/>
          <w:szCs w:val="28"/>
          <w:lang w:val="en-US"/>
        </w:rPr>
        <w:t>S</w:t>
      </w:r>
      <w:r w:rsidRPr="008C4965">
        <w:rPr>
          <w:rFonts w:ascii="Times New Roman" w:hAnsi="Times New Roman"/>
          <w:i/>
          <w:color w:val="000000"/>
          <w:sz w:val="28"/>
          <w:szCs w:val="28"/>
        </w:rPr>
        <w:t>cenedesmusacutus</w:t>
      </w: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8C4965">
        <w:rPr>
          <w:rFonts w:ascii="Times New Roman" w:hAnsi="Times New Roman"/>
          <w:color w:val="000000"/>
          <w:sz w:val="28"/>
          <w:szCs w:val="28"/>
        </w:rPr>
        <w:t>eyen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выращивали в накопительном режиме в сосудах (</w:t>
      </w:r>
      <w:r w:rsidRPr="008C4965">
        <w:rPr>
          <w:rFonts w:ascii="Times New Roman" w:hAnsi="Times New Roman"/>
          <w:color w:val="000000"/>
          <w:sz w:val="28"/>
          <w:szCs w:val="24"/>
          <w:lang w:val="en-US" w:eastAsia="ru-RU"/>
        </w:rPr>
        <w:t>V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=1л) при температуре 25±1°С. Барботирование суспензии осуществляли воздухом с помощью поршневого компрессора </w:t>
      </w:r>
      <w:r w:rsidRPr="008C4965">
        <w:rPr>
          <w:rFonts w:ascii="Times New Roman" w:hAnsi="Times New Roman"/>
          <w:color w:val="000000"/>
          <w:sz w:val="28"/>
          <w:szCs w:val="24"/>
          <w:lang w:val="en-US" w:eastAsia="ru-RU"/>
        </w:rPr>
        <w:t>HAILEA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АСО-003. Для освещения культуры использовали лампы холодного дневного света </w:t>
      </w:r>
      <w:r w:rsidRPr="008C4965">
        <w:rPr>
          <w:rFonts w:ascii="Times New Roman" w:hAnsi="Times New Roman"/>
          <w:color w:val="000000"/>
          <w:sz w:val="28"/>
          <w:szCs w:val="24"/>
          <w:lang w:val="en-US" w:eastAsia="ru-RU"/>
        </w:rPr>
        <w:t>PHILIPSTDL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>18</w:t>
      </w:r>
      <w:r w:rsidRPr="008C4965">
        <w:rPr>
          <w:rFonts w:ascii="Times New Roman" w:hAnsi="Times New Roman"/>
          <w:color w:val="000000"/>
          <w:sz w:val="28"/>
          <w:szCs w:val="24"/>
          <w:lang w:val="en-US" w:eastAsia="ru-RU"/>
        </w:rPr>
        <w:t>W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/3. Освещенность на поверхности сосудов (5500 Лк) регистрировали с помощью люксметра Ю-116, продолжительность световых и темновых фаз – 12ч/12ч регулировали, используя механический программируемый таймер. Для культивирования использовали 4 типа питательных сред: среда Кнопа (1:2 в авторской модификации, среда №1) [9], </w:t>
      </w:r>
      <w:r w:rsidRPr="008C4965">
        <w:rPr>
          <w:rFonts w:ascii="Times New Roman" w:hAnsi="Times New Roman"/>
          <w:color w:val="000000"/>
          <w:sz w:val="28"/>
          <w:szCs w:val="24"/>
          <w:lang w:val="en-US" w:eastAsia="ru-RU"/>
        </w:rPr>
        <w:t>Kristalon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>универсальный (среда №2), среда Тамийя (1:5, среда №3)[9], ЧУ-10 (среда №4) [10]. При выращивании водоросли использовали различную степень интенсивности продувки воздухом: 1) без барботажа; 2) 30 л/ч; 3) 60 л/ч. Эксперимент проводили в 2-кратной биологической повторности.</w:t>
      </w:r>
    </w:p>
    <w:p w:rsidR="004B65AA" w:rsidRPr="008C4965" w:rsidRDefault="004B65AA" w:rsidP="00627E9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Подсчет клеток осуществляли визуально с помощью камеры Нажотта под микроскопом ЛОМО Микмед-5 (×40). Для определения качественного и количественного состава пигментов использовали стандартный спектрофотометрический метод [11]. При обработке полученных результатов концентрацию хлорофиллов </w:t>
      </w:r>
      <w:r w:rsidRPr="008C4965">
        <w:rPr>
          <w:rFonts w:ascii="Times New Roman" w:hAnsi="Times New Roman"/>
          <w:i/>
          <w:color w:val="000000"/>
          <w:sz w:val="28"/>
          <w:szCs w:val="24"/>
          <w:lang w:eastAsia="ru-RU"/>
        </w:rPr>
        <w:t>а, b, с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 каротиноидов рассчитывали по формулам, рекомендованным рабочей группой при ЮНЕСКО [12].</w:t>
      </w:r>
    </w:p>
    <w:p w:rsidR="004B65AA" w:rsidRPr="008C4965" w:rsidRDefault="004B65AA" w:rsidP="00F2735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b/>
          <w:color w:val="000000"/>
          <w:sz w:val="28"/>
          <w:szCs w:val="24"/>
          <w:lang w:eastAsia="ru-RU"/>
        </w:rPr>
        <w:t xml:space="preserve">Результаты и их обсуждение. 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Использование двухфакторного дисперсионного анализа позволило (при р&lt;0,05) установить достоверное влияние фактора «интенсивность продувки» на концентрацию хлорофилла </w:t>
      </w:r>
      <w:r w:rsidRPr="008C4965">
        <w:rPr>
          <w:rFonts w:ascii="Times New Roman" w:hAnsi="Times New Roman"/>
          <w:i/>
          <w:color w:val="000000"/>
          <w:sz w:val="28"/>
          <w:szCs w:val="28"/>
          <w:lang w:eastAsia="ru-RU"/>
        </w:rPr>
        <w:t>а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(Таблица 1). </w:t>
      </w:r>
    </w:p>
    <w:p w:rsidR="004B65AA" w:rsidRPr="008C4965" w:rsidRDefault="004B65AA" w:rsidP="00F2735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b/>
          <w:color w:val="000000"/>
          <w:sz w:val="28"/>
          <w:szCs w:val="28"/>
          <w:lang w:eastAsia="ru-RU"/>
        </w:rPr>
        <w:t>Таблица 1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Влияние факторов среды на концентрацию пигментов</w:t>
      </w: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31"/>
        <w:gridCol w:w="2089"/>
        <w:gridCol w:w="1596"/>
        <w:gridCol w:w="2692"/>
      </w:tblGrid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Источник варьирования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Количество степеней свободы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Средний квадрат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Значение р (по точному критерию Фишера)</w:t>
            </w:r>
          </w:p>
        </w:tc>
      </w:tr>
      <w:tr w:rsidR="004B65AA" w:rsidRPr="00F324D4" w:rsidTr="00F324D4">
        <w:trPr>
          <w:jc w:val="center"/>
        </w:trPr>
        <w:tc>
          <w:tcPr>
            <w:tcW w:w="9408" w:type="dxa"/>
            <w:gridSpan w:val="4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  <w:t xml:space="preserve">Хлорофилл </w:t>
            </w:r>
            <w:r w:rsidRPr="00F324D4">
              <w:rPr>
                <w:rFonts w:ascii="Times New Roman" w:hAnsi="Times New Roman"/>
                <w:b/>
                <w:i/>
                <w:color w:val="000000"/>
                <w:sz w:val="24"/>
                <w:szCs w:val="28"/>
                <w:lang w:eastAsia="ru-RU"/>
              </w:rPr>
              <w:t>а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Общее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vertAlign w:val="superscript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1,6885*10</w:t>
            </w:r>
            <w:r w:rsidRPr="00F324D4">
              <w:rPr>
                <w:rFonts w:ascii="Times New Roman" w:hAnsi="Times New Roman"/>
                <w:color w:val="000000"/>
                <w:sz w:val="24"/>
                <w:szCs w:val="28"/>
                <w:vertAlign w:val="superscript"/>
                <w:lang w:eastAsia="ru-RU"/>
              </w:rPr>
              <w:t>9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0,0000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А (интенсивность продувки)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3,0027*10</w:t>
            </w:r>
            <w:r w:rsidRPr="00F324D4">
              <w:rPr>
                <w:rFonts w:ascii="Times New Roman" w:hAnsi="Times New Roman"/>
                <w:color w:val="000000"/>
                <w:sz w:val="24"/>
                <w:szCs w:val="28"/>
                <w:vertAlign w:val="superscript"/>
                <w:lang w:eastAsia="ru-RU"/>
              </w:rPr>
              <w:t>7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0,0456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В (вид среды)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2,5282*10</w:t>
            </w:r>
            <w:r w:rsidRPr="00F324D4">
              <w:rPr>
                <w:rFonts w:ascii="Times New Roman" w:hAnsi="Times New Roman"/>
                <w:color w:val="000000"/>
                <w:sz w:val="24"/>
                <w:szCs w:val="28"/>
                <w:vertAlign w:val="superscript"/>
                <w:lang w:eastAsia="ru-RU"/>
              </w:rPr>
              <w:t>7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0,0511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АxВ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8,4676*10</w:t>
            </w:r>
            <w:r w:rsidRPr="00F324D4">
              <w:rPr>
                <w:rFonts w:ascii="Times New Roman" w:hAnsi="Times New Roman"/>
                <w:color w:val="000000"/>
                <w:sz w:val="24"/>
                <w:szCs w:val="28"/>
                <w:vertAlign w:val="superscript"/>
                <w:lang w:eastAsia="ru-RU"/>
              </w:rPr>
              <w:t>6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0,4934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Случайные отклонения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9,3136*10</w:t>
            </w:r>
            <w:r w:rsidRPr="00F324D4">
              <w:rPr>
                <w:rFonts w:ascii="Times New Roman" w:hAnsi="Times New Roman"/>
                <w:color w:val="000000"/>
                <w:sz w:val="24"/>
                <w:szCs w:val="28"/>
                <w:vertAlign w:val="superscript"/>
                <w:lang w:eastAsia="ru-RU"/>
              </w:rPr>
              <w:t>6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–</w:t>
            </w:r>
          </w:p>
        </w:tc>
      </w:tr>
      <w:tr w:rsidR="004B65AA" w:rsidRPr="00F324D4" w:rsidTr="00F324D4">
        <w:trPr>
          <w:jc w:val="center"/>
        </w:trPr>
        <w:tc>
          <w:tcPr>
            <w:tcW w:w="9408" w:type="dxa"/>
            <w:gridSpan w:val="4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val="en-US" w:eastAsia="ru-RU"/>
              </w:rPr>
            </w:pPr>
            <w:r w:rsidRPr="00F324D4"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  <w:t xml:space="preserve">Хлорофилл </w:t>
            </w:r>
            <w:r w:rsidRPr="00F324D4">
              <w:rPr>
                <w:rFonts w:ascii="Times New Roman" w:hAnsi="Times New Roman"/>
                <w:b/>
                <w:i/>
                <w:color w:val="000000"/>
                <w:sz w:val="24"/>
                <w:szCs w:val="28"/>
                <w:lang w:val="en-US" w:eastAsia="ru-RU"/>
              </w:rPr>
              <w:t>b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Общее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89,5660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0,0000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А (интенсивность продувки)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0,2879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0,6781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В (вид среды)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0,7057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0,4176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АxВ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0,6790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0,4849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Случайные отклонения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0,7370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–</w:t>
            </w:r>
          </w:p>
        </w:tc>
      </w:tr>
      <w:tr w:rsidR="004B65AA" w:rsidRPr="00F324D4" w:rsidTr="00F324D4">
        <w:trPr>
          <w:jc w:val="center"/>
        </w:trPr>
        <w:tc>
          <w:tcPr>
            <w:tcW w:w="9408" w:type="dxa"/>
            <w:gridSpan w:val="4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i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  <w:t xml:space="preserve">Хлорофилл </w:t>
            </w:r>
            <w:r w:rsidRPr="00F324D4">
              <w:rPr>
                <w:rFonts w:ascii="Times New Roman" w:hAnsi="Times New Roman"/>
                <w:b/>
                <w:i/>
                <w:color w:val="000000"/>
                <w:sz w:val="24"/>
                <w:szCs w:val="28"/>
                <w:lang w:eastAsia="ru-RU"/>
              </w:rPr>
              <w:t>с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Общее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32,4745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0,0000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А (интенсивность продувки)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0,4626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0,4836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В (вид среды)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0,1899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0,8243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АxВ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0,7175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0,3491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Случайные отклонения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0,6303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–</w:t>
            </w:r>
          </w:p>
        </w:tc>
      </w:tr>
      <w:tr w:rsidR="004B65AA" w:rsidRPr="00F324D4" w:rsidTr="00F324D4">
        <w:trPr>
          <w:jc w:val="center"/>
        </w:trPr>
        <w:tc>
          <w:tcPr>
            <w:tcW w:w="9408" w:type="dxa"/>
            <w:gridSpan w:val="4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b/>
                <w:color w:val="000000"/>
                <w:sz w:val="24"/>
                <w:szCs w:val="28"/>
                <w:lang w:eastAsia="ru-RU"/>
              </w:rPr>
              <w:t>Каротиноиды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Общее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352,9331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0,0000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А (интенсивность продувки)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3,4330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0,1698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В (вид среды)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2,9276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0,2090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АxВ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1,0918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0,7466</w:t>
            </w:r>
          </w:p>
        </w:tc>
      </w:tr>
      <w:tr w:rsidR="004B65AA" w:rsidRPr="00F324D4" w:rsidTr="00F324D4">
        <w:trPr>
          <w:jc w:val="center"/>
        </w:trPr>
        <w:tc>
          <w:tcPr>
            <w:tcW w:w="303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Случайные отклонения</w:t>
            </w:r>
          </w:p>
        </w:tc>
        <w:tc>
          <w:tcPr>
            <w:tcW w:w="208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159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1,8888</w:t>
            </w:r>
          </w:p>
        </w:tc>
        <w:tc>
          <w:tcPr>
            <w:tcW w:w="2692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–</w:t>
            </w:r>
          </w:p>
        </w:tc>
      </w:tr>
    </w:tbl>
    <w:p w:rsidR="004B65AA" w:rsidRPr="008C4965" w:rsidRDefault="004B65AA" w:rsidP="00F2735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Исследования показали, что влияния таких факторов как «интенсивность продувки» и «вид питательной среды», как и их совместного действия, на концентрацию других пигментов в клетках водоросли сценедесмус не было выявлено. </w:t>
      </w:r>
    </w:p>
    <w:p w:rsidR="004B65AA" w:rsidRPr="008C4965" w:rsidRDefault="004B65AA" w:rsidP="00BA52E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Максимальная концентрация хлорофилла</w:t>
      </w:r>
      <w:r w:rsidRPr="008C4965">
        <w:rPr>
          <w:rFonts w:ascii="Times New Roman" w:hAnsi="Times New Roman"/>
          <w:i/>
          <w:color w:val="000000"/>
          <w:sz w:val="28"/>
          <w:szCs w:val="28"/>
          <w:lang w:eastAsia="ru-RU"/>
        </w:rPr>
        <w:t>а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клетках сценедесмуса была отмечена при применении интенсивности продувки 30 л/ч («продувка №2»), в отличие от использования высокой степени интенсивности барботажа (60 л/ч, «продувка №3») и полного отсутствия продувки («продувка №1»). Состав питательной среды при культивировании не оказывал существенного влияния на концентрацию пигментов в клетках сценедесмуса (Таблица 2).</w:t>
      </w:r>
    </w:p>
    <w:p w:rsidR="004B65AA" w:rsidRPr="008C4965" w:rsidRDefault="004B65AA" w:rsidP="00097A4B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b/>
          <w:color w:val="000000"/>
          <w:sz w:val="28"/>
          <w:szCs w:val="28"/>
          <w:lang w:eastAsia="ru-RU"/>
        </w:rPr>
        <w:t>Таблица 2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Концентрация пигментов водоросли сценедесмус при различных условиях культивирования</w:t>
      </w:r>
    </w:p>
    <w:tbl>
      <w:tblPr>
        <w:tblW w:w="9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786"/>
        <w:gridCol w:w="1899"/>
        <w:gridCol w:w="1843"/>
        <w:gridCol w:w="1886"/>
        <w:gridCol w:w="1843"/>
      </w:tblGrid>
      <w:tr w:rsidR="004B65AA" w:rsidRPr="00F324D4" w:rsidTr="00F324D4">
        <w:trPr>
          <w:trHeight w:val="828"/>
          <w:jc w:val="center"/>
        </w:trPr>
        <w:tc>
          <w:tcPr>
            <w:tcW w:w="2301" w:type="dxa"/>
            <w:gridSpan w:val="2"/>
            <w:vAlign w:val="bottom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189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Хлорофилл </w:t>
            </w:r>
            <w:r w:rsidRPr="00F324D4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a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, мг/л</w:t>
            </w:r>
          </w:p>
        </w:tc>
        <w:tc>
          <w:tcPr>
            <w:tcW w:w="1843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Хлорофилл </w:t>
            </w:r>
            <w:r w:rsidRPr="00F324D4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,мг/л </w:t>
            </w:r>
          </w:p>
        </w:tc>
        <w:tc>
          <w:tcPr>
            <w:tcW w:w="1886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Хлорофилл </w:t>
            </w:r>
            <w:r w:rsidRPr="00F324D4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с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, мг/л</w:t>
            </w:r>
          </w:p>
        </w:tc>
        <w:tc>
          <w:tcPr>
            <w:tcW w:w="1843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Каротиноиды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,мг/л 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 w:val="restart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Продувка №1</w:t>
            </w: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3591,4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±895,0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1,401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±0,416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0,853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±0,215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1,811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±0,365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3706,2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±730,1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0,848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±0,152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0,456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±0,035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1,720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±0,331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3361,6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±1074,6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0,699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±0,201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0,195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±0,064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1,411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±0,441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3144,8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±911,8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0,719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±0,195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0,390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±0,069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1,648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±0,439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 w:val="restart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Продувка №2</w:t>
            </w: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3586,2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±1128,3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0,860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±0,252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0,287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±0,033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1,702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±0,509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/>
            <w:textDirection w:val="btLr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right="113"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6901,1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±1644,3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1,409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±0,339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0,712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±0,185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3,064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±0,660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/>
            <w:textDirection w:val="btLr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right="113"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3644,5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±711,7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1,017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±0,182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0,892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±0,211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1,950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±0,434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/>
            <w:textDirection w:val="btLr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right="113"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3776,4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±1164,0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1,013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±0,294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0,888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±0,260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2,140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±0,619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 w:val="restart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Продувка №3</w:t>
            </w: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5416,9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±779,7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0,865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±0,148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0,299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±0,020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1,984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±0,241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7251,9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±1635,1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1,568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±0,407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0,865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±0,218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3,028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±0,719</w:t>
            </w:r>
          </w:p>
        </w:tc>
      </w:tr>
      <w:tr w:rsidR="004B65AA" w:rsidRPr="00F324D4" w:rsidTr="00F324D4">
        <w:trPr>
          <w:trHeight w:val="187"/>
          <w:jc w:val="center"/>
        </w:trPr>
        <w:tc>
          <w:tcPr>
            <w:tcW w:w="1515" w:type="dxa"/>
            <w:vMerge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6402,6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±1594,4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1,218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±0,351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0,888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±0,208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2,461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±0,786</w:t>
            </w:r>
          </w:p>
        </w:tc>
      </w:tr>
      <w:tr w:rsidR="004B65AA" w:rsidRPr="00F324D4" w:rsidTr="00F324D4">
        <w:trPr>
          <w:jc w:val="center"/>
        </w:trPr>
        <w:tc>
          <w:tcPr>
            <w:tcW w:w="1515" w:type="dxa"/>
            <w:vMerge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3017,2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±527,3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0,774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±0,204</w:t>
            </w:r>
          </w:p>
        </w:tc>
        <w:tc>
          <w:tcPr>
            <w:tcW w:w="1886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0,737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±0,241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3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1,677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±0,386</w:t>
            </w:r>
          </w:p>
        </w:tc>
      </w:tr>
    </w:tbl>
    <w:p w:rsidR="004B65AA" w:rsidRPr="008C4965" w:rsidRDefault="004B65AA" w:rsidP="00097A4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8C4965">
        <w:rPr>
          <w:rFonts w:ascii="Times New Roman" w:hAnsi="Times New Roman"/>
          <w:b/>
          <w:color w:val="000000"/>
          <w:sz w:val="24"/>
          <w:szCs w:val="28"/>
          <w:lang w:eastAsia="ru-RU"/>
        </w:rPr>
        <w:t>Примечание:</w:t>
      </w:r>
      <w:r w:rsidRPr="008C4965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все приведенные данные достоверно различны при р&lt;0,05.</w:t>
      </w:r>
    </w:p>
    <w:p w:rsidR="004B65AA" w:rsidRPr="008C4965" w:rsidRDefault="004B65AA" w:rsidP="0008676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Важным показателем физиологического состояния сценедесмуса на протяжении периода культивирования был показатель желто-зеленого индекса. При проведении двухфакторного дисперсионного анализа (при р&lt;0,05) установлено отсутствие достоверного влияния факторов «интенсивность продувки» и «вид питательной среды» на показатель желто-зеленый индекса (Таблица 3).</w:t>
      </w:r>
    </w:p>
    <w:p w:rsidR="004B65AA" w:rsidRDefault="004B65AA" w:rsidP="0008676C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B65AA" w:rsidRDefault="004B65AA" w:rsidP="0008676C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B65AA" w:rsidRDefault="004B65AA" w:rsidP="0008676C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b/>
          <w:color w:val="000000"/>
          <w:sz w:val="28"/>
          <w:szCs w:val="28"/>
          <w:lang w:eastAsia="ru-RU"/>
        </w:rPr>
        <w:t>Таблица 3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Влияние факторов культивирования на соотношение фотосинтетических пигментов (желто-зеленый индекс)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34"/>
        <w:gridCol w:w="2319"/>
        <w:gridCol w:w="1275"/>
        <w:gridCol w:w="2977"/>
      </w:tblGrid>
      <w:tr w:rsidR="004B65AA" w:rsidRPr="00F324D4" w:rsidTr="00F324D4">
        <w:trPr>
          <w:jc w:val="center"/>
        </w:trPr>
        <w:tc>
          <w:tcPr>
            <w:tcW w:w="3034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Источник варьирования</w:t>
            </w:r>
          </w:p>
        </w:tc>
        <w:tc>
          <w:tcPr>
            <w:tcW w:w="231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Количество степеней свободы</w:t>
            </w:r>
          </w:p>
        </w:tc>
        <w:tc>
          <w:tcPr>
            <w:tcW w:w="1275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Средний квадрат</w:t>
            </w:r>
          </w:p>
        </w:tc>
        <w:tc>
          <w:tcPr>
            <w:tcW w:w="2977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Значение р (по точному критерию Фишера)</w:t>
            </w:r>
          </w:p>
        </w:tc>
      </w:tr>
      <w:tr w:rsidR="004B65AA" w:rsidRPr="00F324D4" w:rsidTr="00F324D4">
        <w:trPr>
          <w:jc w:val="center"/>
        </w:trPr>
        <w:tc>
          <w:tcPr>
            <w:tcW w:w="3034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Общее</w:t>
            </w:r>
          </w:p>
        </w:tc>
        <w:tc>
          <w:tcPr>
            <w:tcW w:w="231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96,5434</w:t>
            </w:r>
          </w:p>
        </w:tc>
        <w:tc>
          <w:tcPr>
            <w:tcW w:w="2977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0,0000</w:t>
            </w:r>
          </w:p>
        </w:tc>
      </w:tr>
      <w:tr w:rsidR="004B65AA" w:rsidRPr="00F324D4" w:rsidTr="00F324D4">
        <w:trPr>
          <w:jc w:val="center"/>
        </w:trPr>
        <w:tc>
          <w:tcPr>
            <w:tcW w:w="3034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А (интенсивность продувки)</w:t>
            </w:r>
          </w:p>
        </w:tc>
        <w:tc>
          <w:tcPr>
            <w:tcW w:w="231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0,0756</w:t>
            </w:r>
          </w:p>
        </w:tc>
        <w:tc>
          <w:tcPr>
            <w:tcW w:w="2977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0,6231</w:t>
            </w:r>
          </w:p>
        </w:tc>
      </w:tr>
      <w:tr w:rsidR="004B65AA" w:rsidRPr="00F324D4" w:rsidTr="00F324D4">
        <w:trPr>
          <w:jc w:val="center"/>
        </w:trPr>
        <w:tc>
          <w:tcPr>
            <w:tcW w:w="3034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Фактор В (вид среды)</w:t>
            </w:r>
          </w:p>
        </w:tc>
        <w:tc>
          <w:tcPr>
            <w:tcW w:w="231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0,1480</w:t>
            </w:r>
          </w:p>
        </w:tc>
        <w:tc>
          <w:tcPr>
            <w:tcW w:w="2977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0,4300</w:t>
            </w:r>
          </w:p>
        </w:tc>
      </w:tr>
      <w:tr w:rsidR="004B65AA" w:rsidRPr="00F324D4" w:rsidTr="00F324D4">
        <w:trPr>
          <w:jc w:val="center"/>
        </w:trPr>
        <w:tc>
          <w:tcPr>
            <w:tcW w:w="3034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АxВ</w:t>
            </w:r>
          </w:p>
        </w:tc>
        <w:tc>
          <w:tcPr>
            <w:tcW w:w="231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0,1625</w:t>
            </w:r>
          </w:p>
        </w:tc>
        <w:tc>
          <w:tcPr>
            <w:tcW w:w="2977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0,4175</w:t>
            </w:r>
          </w:p>
        </w:tc>
      </w:tr>
      <w:tr w:rsidR="004B65AA" w:rsidRPr="00F324D4" w:rsidTr="00F324D4">
        <w:trPr>
          <w:jc w:val="center"/>
        </w:trPr>
        <w:tc>
          <w:tcPr>
            <w:tcW w:w="3034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Случайные отклонения</w:t>
            </w:r>
          </w:p>
        </w:tc>
        <w:tc>
          <w:tcPr>
            <w:tcW w:w="2319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1275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0,1589</w:t>
            </w:r>
          </w:p>
        </w:tc>
        <w:tc>
          <w:tcPr>
            <w:tcW w:w="2977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5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–</w:t>
            </w:r>
          </w:p>
        </w:tc>
      </w:tr>
    </w:tbl>
    <w:p w:rsidR="004B65AA" w:rsidRPr="008C4965" w:rsidRDefault="004B65AA" w:rsidP="00920552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Значения желто-зеленого индекса ниже 1,00 свидетельствовали о хорошем физиологическом состоянии клеток суспензии с возможным потенциалом роста (Таблица 4).</w:t>
      </w:r>
    </w:p>
    <w:p w:rsidR="004B65AA" w:rsidRPr="008C4965" w:rsidRDefault="004B65AA" w:rsidP="00097A4B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b/>
          <w:color w:val="000000"/>
          <w:sz w:val="28"/>
          <w:szCs w:val="28"/>
          <w:lang w:eastAsia="ru-RU"/>
        </w:rPr>
        <w:t>Таблица 4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Влияние продувки и состава питательной среды на показатель желто-зеленого индекса</w:t>
      </w: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1843"/>
        <w:gridCol w:w="1701"/>
        <w:gridCol w:w="1701"/>
        <w:gridCol w:w="1701"/>
      </w:tblGrid>
      <w:tr w:rsidR="004B65AA" w:rsidRPr="00F324D4" w:rsidTr="00F324D4">
        <w:trPr>
          <w:trHeight w:val="413"/>
          <w:jc w:val="center"/>
        </w:trPr>
        <w:tc>
          <w:tcPr>
            <w:tcW w:w="1417" w:type="dxa"/>
            <w:vMerge w:val="restart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Продувка</w:t>
            </w:r>
          </w:p>
        </w:tc>
        <w:tc>
          <w:tcPr>
            <w:tcW w:w="6946" w:type="dxa"/>
            <w:gridSpan w:val="4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Среда</w:t>
            </w:r>
          </w:p>
        </w:tc>
      </w:tr>
      <w:tr w:rsidR="004B65AA" w:rsidRPr="00F324D4" w:rsidTr="00F324D4">
        <w:trPr>
          <w:trHeight w:val="512"/>
          <w:jc w:val="center"/>
        </w:trPr>
        <w:tc>
          <w:tcPr>
            <w:tcW w:w="1417" w:type="dxa"/>
            <w:vMerge/>
            <w:vAlign w:val="bottom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№1</w:t>
            </w:r>
          </w:p>
        </w:tc>
        <w:tc>
          <w:tcPr>
            <w:tcW w:w="170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№2</w:t>
            </w:r>
          </w:p>
        </w:tc>
        <w:tc>
          <w:tcPr>
            <w:tcW w:w="170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№3</w:t>
            </w:r>
          </w:p>
        </w:tc>
        <w:tc>
          <w:tcPr>
            <w:tcW w:w="1701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№4</w:t>
            </w:r>
          </w:p>
        </w:tc>
      </w:tr>
      <w:tr w:rsidR="004B65AA" w:rsidRPr="00F324D4" w:rsidTr="00F324D4">
        <w:trPr>
          <w:jc w:val="center"/>
        </w:trPr>
        <w:tc>
          <w:tcPr>
            <w:tcW w:w="1417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№1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1,138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±0,124</w:t>
            </w:r>
          </w:p>
        </w:tc>
        <w:tc>
          <w:tcPr>
            <w:tcW w:w="1701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0,991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±0,092</w:t>
            </w:r>
          </w:p>
        </w:tc>
        <w:tc>
          <w:tcPr>
            <w:tcW w:w="1701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1,024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±0,074</w:t>
            </w:r>
          </w:p>
        </w:tc>
        <w:tc>
          <w:tcPr>
            <w:tcW w:w="1701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1,123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±0,077</w:t>
            </w:r>
          </w:p>
        </w:tc>
      </w:tr>
      <w:tr w:rsidR="004B65AA" w:rsidRPr="00F324D4" w:rsidTr="00F324D4">
        <w:trPr>
          <w:jc w:val="center"/>
        </w:trPr>
        <w:tc>
          <w:tcPr>
            <w:tcW w:w="1417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№2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0,994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±0,047</w:t>
            </w:r>
          </w:p>
        </w:tc>
        <w:tc>
          <w:tcPr>
            <w:tcW w:w="1701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0,921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±0,035</w:t>
            </w:r>
          </w:p>
        </w:tc>
        <w:tc>
          <w:tcPr>
            <w:tcW w:w="1701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1,000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±0,105</w:t>
            </w:r>
          </w:p>
        </w:tc>
        <w:tc>
          <w:tcPr>
            <w:tcW w:w="1701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1,171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±0,063</w:t>
            </w:r>
          </w:p>
        </w:tc>
      </w:tr>
      <w:tr w:rsidR="004B65AA" w:rsidRPr="00F324D4" w:rsidTr="00F324D4">
        <w:trPr>
          <w:jc w:val="center"/>
        </w:trPr>
        <w:tc>
          <w:tcPr>
            <w:tcW w:w="1417" w:type="dxa"/>
            <w:vAlign w:val="center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№3</w:t>
            </w:r>
          </w:p>
        </w:tc>
        <w:tc>
          <w:tcPr>
            <w:tcW w:w="1843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0,894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±0,049</w:t>
            </w:r>
          </w:p>
        </w:tc>
        <w:tc>
          <w:tcPr>
            <w:tcW w:w="1701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1,380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±0,443</w:t>
            </w:r>
          </w:p>
        </w:tc>
        <w:tc>
          <w:tcPr>
            <w:tcW w:w="1701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0,982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±0,051</w:t>
            </w:r>
          </w:p>
        </w:tc>
        <w:tc>
          <w:tcPr>
            <w:tcW w:w="1701" w:type="dxa"/>
          </w:tcPr>
          <w:p w:rsidR="004B65AA" w:rsidRPr="00F324D4" w:rsidRDefault="004B65AA" w:rsidP="00F324D4">
            <w:pPr>
              <w:shd w:val="clear" w:color="auto" w:fill="FFFFFF"/>
              <w:spacing w:after="0" w:line="360" w:lineRule="auto"/>
              <w:ind w:left="34" w:right="-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4D4">
              <w:rPr>
                <w:rFonts w:ascii="Times New Roman" w:hAnsi="Times New Roman"/>
                <w:color w:val="000000"/>
                <w:sz w:val="24"/>
                <w:szCs w:val="24"/>
              </w:rPr>
              <w:t>1,246</w:t>
            </w:r>
            <w:r w:rsidRPr="00F3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±0,131</w:t>
            </w:r>
          </w:p>
        </w:tc>
      </w:tr>
    </w:tbl>
    <w:p w:rsidR="004B65AA" w:rsidRPr="008C4965" w:rsidRDefault="004B65AA" w:rsidP="00097A4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8C4965">
        <w:rPr>
          <w:rFonts w:ascii="Times New Roman" w:hAnsi="Times New Roman"/>
          <w:b/>
          <w:color w:val="000000"/>
          <w:sz w:val="24"/>
          <w:szCs w:val="28"/>
          <w:lang w:eastAsia="ru-RU"/>
        </w:rPr>
        <w:t>Примечание:</w:t>
      </w:r>
      <w:r w:rsidRPr="008C4965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все приведенные данные достоверно различны при р&lt;0,05.</w:t>
      </w:r>
    </w:p>
    <w:p w:rsidR="004B65AA" w:rsidRPr="008C4965" w:rsidRDefault="004B65AA" w:rsidP="00097A4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Самые лучшие условия для поддержания оптимального физиологического состояния суспензии сценедесмуса на протяжении всего периода культивирования складывались при использовании питательной среды №1 и интенсивности продувки 60 л/ч.</w:t>
      </w:r>
    </w:p>
    <w:p w:rsidR="004B65AA" w:rsidRPr="008C4965" w:rsidRDefault="004B65AA" w:rsidP="00097A4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Выводы.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Исследования по </w:t>
      </w:r>
      <w:r w:rsidRPr="008C4965">
        <w:rPr>
          <w:rFonts w:ascii="Times New Roman" w:hAnsi="Times New Roman"/>
          <w:color w:val="000000"/>
          <w:sz w:val="28"/>
          <w:szCs w:val="28"/>
        </w:rPr>
        <w:t xml:space="preserve">влиянию питательной среды и интенсивности барботажа на динамику концентрации пигментов и физиологическое состояние сценедесмусапри его культивировании 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показали, что:</w:t>
      </w:r>
    </w:p>
    <w:p w:rsidR="004B65AA" w:rsidRPr="008C4965" w:rsidRDefault="004B65AA" w:rsidP="0014728C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статистически значимого влияния факторов «интенсивность продувки» и «вид питательной среды», а также их совместного действия, на показатель концентрации пигментов водоросли сценедесмус не было выявлено, кроме концентрации хлорофилла </w:t>
      </w:r>
      <w:r w:rsidRPr="008C4965">
        <w:rPr>
          <w:rFonts w:ascii="Times New Roman" w:hAnsi="Times New Roman"/>
          <w:i/>
          <w:color w:val="000000"/>
          <w:sz w:val="28"/>
          <w:szCs w:val="28"/>
          <w:lang w:eastAsia="ru-RU"/>
        </w:rPr>
        <w:t>а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4B65AA" w:rsidRPr="008C4965" w:rsidRDefault="004B65AA" w:rsidP="00097A4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Pr="008C496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аксимальная концентрация хлорофилла</w:t>
      </w:r>
      <w:r w:rsidRPr="008C4965">
        <w:rPr>
          <w:rFonts w:ascii="Times New Roman" w:hAnsi="Times New Roman"/>
          <w:i/>
          <w:color w:val="000000"/>
          <w:sz w:val="28"/>
          <w:szCs w:val="28"/>
          <w:lang w:eastAsia="ru-RU"/>
        </w:rPr>
        <w:t>а</w:t>
      </w: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клетках сценедесмуса отмечена при применении интенсивности продувки 30 л/ч («продувка №2»);</w:t>
      </w:r>
    </w:p>
    <w:p w:rsidR="004B65AA" w:rsidRPr="008C4965" w:rsidRDefault="004B65AA" w:rsidP="00BA000E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3) установлено отсутствие достоверного влияния факторов «интенсивность продувки» и «вид питательной среды» на показатель желто-зеленого индекса, но, оптимальное физиологическое состояние по показателю желто-зеленого индекса отмечено при использовании для культивирования питательной среды №1 и интенсивности продувки 60 л/ч.</w:t>
      </w:r>
    </w:p>
    <w:p w:rsidR="004B65AA" w:rsidRPr="008C4965" w:rsidRDefault="004B65AA" w:rsidP="00097A4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лучшими условиями для культивирования сценедесмуса, обеспечивающими оптимальное содержание фотосинтетических пигментов в клетках водоросли и ее физиологическое состояние, являются использование питательной среды Кнопа (1:2) и интенсивности продувки – 60 л/ч.</w:t>
      </w:r>
    </w:p>
    <w:p w:rsidR="004B65AA" w:rsidRPr="008C4965" w:rsidRDefault="004B65AA" w:rsidP="00097A4B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>1. Богданов, Н.И. Суспензия хлореллы в рационе сельскохозяйственных животных / Н.И. Богданов. – Изд. 2-е, перераб. и доп. – Пенза, 2007. – 48 с.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Волкова, И.В. Особенности функционирования  пищеварительной системы  рыб различных трофических групп : автореф. дис. … д-ра биол. наук : 03.03.01 / И.В. Волкова ; Астраханск. гос. техн. ун-т. – Астрахань, 2010. – 44 с.   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49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Георгицина, К.А. Водоросли продуценты биоорганических соединений / К.А. Георгицина // Pontus Euxinus 2011: тезисы VII Междунар. науч.-практ. конф. по проблемам водных экосистем, посвящённой 140-летию Института биологии южных морей Национальной академии наук Украины, Севастополь, 24–27 мая 2011 г. / ЭКОСИ-Гидрофизика, 2011. – С. 66–67.   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4965">
        <w:rPr>
          <w:rFonts w:ascii="Times New Roman" w:hAnsi="Times New Roman"/>
          <w:color w:val="000000"/>
          <w:sz w:val="28"/>
          <w:szCs w:val="28"/>
        </w:rPr>
        <w:t xml:space="preserve">4. Мельников, С.С. Оптимизация условий выращивания хлореллы / С.С. Мельников, Е.Е. Мананкина, Т.В. Самович, Н.В. Козел, Н.В. Шалыго // Весцi НАН Беларусi. Сер.бiял. навук. – 2014. – №3. – С. 52–56.  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4965">
        <w:rPr>
          <w:rFonts w:ascii="Times New Roman" w:hAnsi="Times New Roman"/>
          <w:color w:val="000000"/>
          <w:sz w:val="28"/>
          <w:szCs w:val="28"/>
        </w:rPr>
        <w:t>5. Дробецкая, И.В. Ростовые и биохимические характеристики Spirulina platensis (Nordst.) Geitler при различных условиях минерального питания / И.В. Дробецкая, Г.С. Минюк, Р.П. Тренкеншу, О.Ю. Вялова // Экология моря. – 2001. – Вып. 56. – С. 41–46.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 xml:space="preserve">6. Kozlov, A. Influence of the fulfilled beer yeast on the level of benthos in maturing ponds at the beginning of piscicultural season / A. Kozlov // Pond Aquaculture in Central and Eastern Europe in the 21stCentury: Handbook of abstracts. – Vodnany, Czech Repub, May 2–4. – 2001. – P. 16.   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4965">
        <w:rPr>
          <w:rFonts w:ascii="Times New Roman" w:hAnsi="Times New Roman"/>
          <w:color w:val="000000"/>
          <w:sz w:val="28"/>
          <w:szCs w:val="28"/>
        </w:rPr>
        <w:t xml:space="preserve">7. Джулай, А.А. Содержание хлорофилла а и поглощение света фитопланктоном в Севастопольской бухте (2009–2010 гг.) / А.А. Джулай // Pontus Euxinus 2011: тезисы VII Междунар. науч.-практ. конф. по проблемам водных экосистем, посвящённой 140-летию Института биологии южных морей НАН Украины, Севастополь, 24–27 мая 2011 г. / ЭКОСИ-Гидрофизика, 2011. – С. 97–98.   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4965">
        <w:rPr>
          <w:rFonts w:ascii="Times New Roman" w:hAnsi="Times New Roman"/>
          <w:color w:val="000000"/>
          <w:sz w:val="28"/>
          <w:szCs w:val="28"/>
        </w:rPr>
        <w:t xml:space="preserve">8. Елизарова, В.А. Содержание фотосинтетических пигментов в фитопланктоне водоёмов разного типа: автореф. дис. канд. биол. наук: 03.00.18 / В.А. Елизарова; Институт биологии внутренних вод АН СССР. – Москва, 1975. – 24 с.  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C4965">
        <w:rPr>
          <w:rFonts w:ascii="Times New Roman" w:hAnsi="Times New Roman"/>
          <w:color w:val="000000"/>
          <w:sz w:val="28"/>
          <w:szCs w:val="28"/>
        </w:rPr>
        <w:t>9. Гайсина, Л.А., Современные методы выделения и культивирования водорослей: учеб.пособ. / Л.А. Гайсина, А.И. Фазлутдинова, Р.Р.  Кабиров</w:t>
      </w: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 xml:space="preserve">. – </w:t>
      </w:r>
      <w:r w:rsidRPr="008C4965">
        <w:rPr>
          <w:rFonts w:ascii="Times New Roman" w:hAnsi="Times New Roman"/>
          <w:color w:val="000000"/>
          <w:sz w:val="28"/>
          <w:szCs w:val="28"/>
        </w:rPr>
        <w:t>Уфа</w:t>
      </w: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8C4965">
        <w:rPr>
          <w:rFonts w:ascii="Times New Roman" w:hAnsi="Times New Roman"/>
          <w:color w:val="000000"/>
          <w:sz w:val="28"/>
          <w:szCs w:val="28"/>
        </w:rPr>
        <w:t>Изд</w:t>
      </w: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Pr="008C4965">
        <w:rPr>
          <w:rFonts w:ascii="Times New Roman" w:hAnsi="Times New Roman"/>
          <w:color w:val="000000"/>
          <w:sz w:val="28"/>
          <w:szCs w:val="28"/>
        </w:rPr>
        <w:t>воБГПУ</w:t>
      </w: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 xml:space="preserve">, 2008. – 152 </w:t>
      </w:r>
      <w:r w:rsidRPr="008C4965">
        <w:rPr>
          <w:rFonts w:ascii="Times New Roman" w:hAnsi="Times New Roman"/>
          <w:color w:val="000000"/>
          <w:sz w:val="28"/>
          <w:szCs w:val="28"/>
        </w:rPr>
        <w:t>с</w:t>
      </w: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 xml:space="preserve">.     </w:t>
      </w:r>
    </w:p>
    <w:p w:rsidR="004B65AA" w:rsidRPr="008C4965" w:rsidRDefault="004B65AA" w:rsidP="004C19A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 xml:space="preserve">10. Belcher, H. Culturing algae: guide for schools and colleges / H. Belcher, E. Swale. – Cambridge: Titus Wilson &amp; Son Ltd, 1988. – 28 p.   </w:t>
      </w:r>
    </w:p>
    <w:p w:rsidR="004B65AA" w:rsidRPr="008C4965" w:rsidRDefault="004B65AA" w:rsidP="00587EC4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4965">
        <w:rPr>
          <w:rFonts w:ascii="Times New Roman" w:hAnsi="Times New Roman"/>
          <w:color w:val="000000"/>
          <w:sz w:val="28"/>
          <w:szCs w:val="28"/>
        </w:rPr>
        <w:t xml:space="preserve">11. Методические рекомендации по сбору и обработке материалов при гидробиологических исследованиях на пресноводных водоёмах. Фитопланктон и его продукция / ГосНИОРХ ; сост.: Г.М. Лаврентьева, В.В. Бульон. – Л.: ГосНИОРХ, 1984. – 32 с.   </w:t>
      </w:r>
    </w:p>
    <w:p w:rsidR="004B65AA" w:rsidRDefault="004B65AA" w:rsidP="00587EC4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>12.</w:t>
      </w:r>
      <w:r w:rsidRPr="008C4965">
        <w:rPr>
          <w:rFonts w:ascii="Times New Roman" w:hAnsi="Times New Roman"/>
          <w:color w:val="000000"/>
          <w:sz w:val="28"/>
          <w:szCs w:val="28"/>
          <w:lang w:val="en-US"/>
        </w:rPr>
        <w:tab/>
        <w:t xml:space="preserve">SCOR–UNESCO. Determination of photosynthetic pigmente in sea–water // Monographs on oceanographic methodology. – Paris. – 1966. – P. 9–19. </w:t>
      </w:r>
      <w:r w:rsidRPr="008C4965">
        <w:rPr>
          <w:rFonts w:ascii="Times New Roman" w:hAnsi="Times New Roman"/>
          <w:color w:val="000000"/>
          <w:sz w:val="28"/>
          <w:szCs w:val="28"/>
        </w:rPr>
        <w:t>173</w:t>
      </w:r>
    </w:p>
    <w:sectPr w:rsidR="004B65AA" w:rsidSect="00C571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126"/>
    <w:rsid w:val="0000486B"/>
    <w:rsid w:val="00004D37"/>
    <w:rsid w:val="00010E62"/>
    <w:rsid w:val="00011CFF"/>
    <w:rsid w:val="00030508"/>
    <w:rsid w:val="00030C50"/>
    <w:rsid w:val="00033568"/>
    <w:rsid w:val="00041523"/>
    <w:rsid w:val="000422A7"/>
    <w:rsid w:val="00050BDB"/>
    <w:rsid w:val="00050F4C"/>
    <w:rsid w:val="00051062"/>
    <w:rsid w:val="00051262"/>
    <w:rsid w:val="000518CC"/>
    <w:rsid w:val="00054689"/>
    <w:rsid w:val="00055A90"/>
    <w:rsid w:val="0005651C"/>
    <w:rsid w:val="00060C4F"/>
    <w:rsid w:val="00061A27"/>
    <w:rsid w:val="00064D75"/>
    <w:rsid w:val="00064ECC"/>
    <w:rsid w:val="00081218"/>
    <w:rsid w:val="00082D50"/>
    <w:rsid w:val="000847B8"/>
    <w:rsid w:val="00085DD4"/>
    <w:rsid w:val="0008676C"/>
    <w:rsid w:val="000944FD"/>
    <w:rsid w:val="00097A4B"/>
    <w:rsid w:val="000A4F97"/>
    <w:rsid w:val="000B1050"/>
    <w:rsid w:val="000B2A0C"/>
    <w:rsid w:val="000C1AC7"/>
    <w:rsid w:val="000C1EE5"/>
    <w:rsid w:val="000C53E9"/>
    <w:rsid w:val="000D3E4B"/>
    <w:rsid w:val="000E1998"/>
    <w:rsid w:val="000E2942"/>
    <w:rsid w:val="000E4026"/>
    <w:rsid w:val="00104C32"/>
    <w:rsid w:val="00105E5B"/>
    <w:rsid w:val="00107E61"/>
    <w:rsid w:val="00112188"/>
    <w:rsid w:val="00116338"/>
    <w:rsid w:val="0012181D"/>
    <w:rsid w:val="00125787"/>
    <w:rsid w:val="0012642F"/>
    <w:rsid w:val="0014728C"/>
    <w:rsid w:val="00147A38"/>
    <w:rsid w:val="00151F28"/>
    <w:rsid w:val="00152BA7"/>
    <w:rsid w:val="00156558"/>
    <w:rsid w:val="00163DF4"/>
    <w:rsid w:val="001663A0"/>
    <w:rsid w:val="00167DB8"/>
    <w:rsid w:val="00171B4F"/>
    <w:rsid w:val="00172DC1"/>
    <w:rsid w:val="00173B15"/>
    <w:rsid w:val="00173C8C"/>
    <w:rsid w:val="00176279"/>
    <w:rsid w:val="00180E5A"/>
    <w:rsid w:val="001837F1"/>
    <w:rsid w:val="0018513A"/>
    <w:rsid w:val="00185AC7"/>
    <w:rsid w:val="001952BD"/>
    <w:rsid w:val="0019564F"/>
    <w:rsid w:val="001A255F"/>
    <w:rsid w:val="001A468D"/>
    <w:rsid w:val="001A7443"/>
    <w:rsid w:val="001B30FE"/>
    <w:rsid w:val="001B31B5"/>
    <w:rsid w:val="001B33E5"/>
    <w:rsid w:val="001B4394"/>
    <w:rsid w:val="001C0C66"/>
    <w:rsid w:val="001C2996"/>
    <w:rsid w:val="001D3C09"/>
    <w:rsid w:val="001D62FB"/>
    <w:rsid w:val="001F0CE1"/>
    <w:rsid w:val="001F1F94"/>
    <w:rsid w:val="001F76E4"/>
    <w:rsid w:val="00203844"/>
    <w:rsid w:val="00206EFF"/>
    <w:rsid w:val="00206F82"/>
    <w:rsid w:val="002103B1"/>
    <w:rsid w:val="002231EB"/>
    <w:rsid w:val="00223ABF"/>
    <w:rsid w:val="00225FB4"/>
    <w:rsid w:val="00233488"/>
    <w:rsid w:val="00242583"/>
    <w:rsid w:val="00250A9F"/>
    <w:rsid w:val="00250F43"/>
    <w:rsid w:val="00255E43"/>
    <w:rsid w:val="00260D60"/>
    <w:rsid w:val="00260E1C"/>
    <w:rsid w:val="00265279"/>
    <w:rsid w:val="002731C6"/>
    <w:rsid w:val="00274027"/>
    <w:rsid w:val="002804AE"/>
    <w:rsid w:val="00280794"/>
    <w:rsid w:val="00280EB3"/>
    <w:rsid w:val="002826E3"/>
    <w:rsid w:val="002852BA"/>
    <w:rsid w:val="002874B5"/>
    <w:rsid w:val="00291B5D"/>
    <w:rsid w:val="00291C3C"/>
    <w:rsid w:val="00293071"/>
    <w:rsid w:val="00296172"/>
    <w:rsid w:val="00296486"/>
    <w:rsid w:val="002969B7"/>
    <w:rsid w:val="002974E5"/>
    <w:rsid w:val="002A366D"/>
    <w:rsid w:val="002A3C6F"/>
    <w:rsid w:val="002A660D"/>
    <w:rsid w:val="002C0569"/>
    <w:rsid w:val="002C2752"/>
    <w:rsid w:val="002D0B39"/>
    <w:rsid w:val="002D2D93"/>
    <w:rsid w:val="002E670D"/>
    <w:rsid w:val="002E7B79"/>
    <w:rsid w:val="002F1423"/>
    <w:rsid w:val="002F6F42"/>
    <w:rsid w:val="0030122D"/>
    <w:rsid w:val="003022D5"/>
    <w:rsid w:val="00304610"/>
    <w:rsid w:val="00304F0C"/>
    <w:rsid w:val="003060E1"/>
    <w:rsid w:val="00306F10"/>
    <w:rsid w:val="003164C1"/>
    <w:rsid w:val="003201DF"/>
    <w:rsid w:val="00325E91"/>
    <w:rsid w:val="00340D72"/>
    <w:rsid w:val="0034105F"/>
    <w:rsid w:val="00343CB2"/>
    <w:rsid w:val="003523F2"/>
    <w:rsid w:val="00353BDD"/>
    <w:rsid w:val="0035469C"/>
    <w:rsid w:val="003558DD"/>
    <w:rsid w:val="00356888"/>
    <w:rsid w:val="00363326"/>
    <w:rsid w:val="00363437"/>
    <w:rsid w:val="00363556"/>
    <w:rsid w:val="003654D6"/>
    <w:rsid w:val="003715F0"/>
    <w:rsid w:val="003717F4"/>
    <w:rsid w:val="003744B3"/>
    <w:rsid w:val="0038132E"/>
    <w:rsid w:val="0039681C"/>
    <w:rsid w:val="00396EFB"/>
    <w:rsid w:val="003A11AB"/>
    <w:rsid w:val="003A1537"/>
    <w:rsid w:val="003A4716"/>
    <w:rsid w:val="003A6D82"/>
    <w:rsid w:val="003B1124"/>
    <w:rsid w:val="003B69AD"/>
    <w:rsid w:val="003B6C70"/>
    <w:rsid w:val="003B746C"/>
    <w:rsid w:val="003C3A0E"/>
    <w:rsid w:val="003D025B"/>
    <w:rsid w:val="003D4B32"/>
    <w:rsid w:val="003E07CE"/>
    <w:rsid w:val="003E0D66"/>
    <w:rsid w:val="003E16CE"/>
    <w:rsid w:val="003E1B3E"/>
    <w:rsid w:val="003E2D7A"/>
    <w:rsid w:val="003E2E29"/>
    <w:rsid w:val="003E3D10"/>
    <w:rsid w:val="003E671C"/>
    <w:rsid w:val="003E7DD6"/>
    <w:rsid w:val="003F1335"/>
    <w:rsid w:val="003F17E0"/>
    <w:rsid w:val="003F1952"/>
    <w:rsid w:val="00401F3D"/>
    <w:rsid w:val="0041165D"/>
    <w:rsid w:val="00412E28"/>
    <w:rsid w:val="004163FC"/>
    <w:rsid w:val="00423451"/>
    <w:rsid w:val="00423B6D"/>
    <w:rsid w:val="00430862"/>
    <w:rsid w:val="004317BF"/>
    <w:rsid w:val="004333B5"/>
    <w:rsid w:val="00434805"/>
    <w:rsid w:val="00453A7E"/>
    <w:rsid w:val="004713DC"/>
    <w:rsid w:val="004739FD"/>
    <w:rsid w:val="00473EBE"/>
    <w:rsid w:val="00474B84"/>
    <w:rsid w:val="004803F3"/>
    <w:rsid w:val="00485066"/>
    <w:rsid w:val="004867EA"/>
    <w:rsid w:val="00491F99"/>
    <w:rsid w:val="0049345A"/>
    <w:rsid w:val="00495137"/>
    <w:rsid w:val="004A59CC"/>
    <w:rsid w:val="004B65AA"/>
    <w:rsid w:val="004B7116"/>
    <w:rsid w:val="004C19A3"/>
    <w:rsid w:val="004C2B38"/>
    <w:rsid w:val="004C747E"/>
    <w:rsid w:val="004C79A4"/>
    <w:rsid w:val="004D6B97"/>
    <w:rsid w:val="004E2BAE"/>
    <w:rsid w:val="004E4EE6"/>
    <w:rsid w:val="004E5800"/>
    <w:rsid w:val="004E6D98"/>
    <w:rsid w:val="004F4A8E"/>
    <w:rsid w:val="00501AD2"/>
    <w:rsid w:val="00503CEE"/>
    <w:rsid w:val="00512CE1"/>
    <w:rsid w:val="005130A5"/>
    <w:rsid w:val="005344D3"/>
    <w:rsid w:val="00541493"/>
    <w:rsid w:val="00541BE4"/>
    <w:rsid w:val="00546182"/>
    <w:rsid w:val="005468C9"/>
    <w:rsid w:val="00553BEA"/>
    <w:rsid w:val="00554577"/>
    <w:rsid w:val="00556BC1"/>
    <w:rsid w:val="00560DB6"/>
    <w:rsid w:val="00564786"/>
    <w:rsid w:val="0056644A"/>
    <w:rsid w:val="0057002E"/>
    <w:rsid w:val="005720FD"/>
    <w:rsid w:val="00576D27"/>
    <w:rsid w:val="005806F2"/>
    <w:rsid w:val="00581887"/>
    <w:rsid w:val="00587EC4"/>
    <w:rsid w:val="00587FFA"/>
    <w:rsid w:val="005A2AA6"/>
    <w:rsid w:val="005A46D3"/>
    <w:rsid w:val="005A4ADF"/>
    <w:rsid w:val="005A5D54"/>
    <w:rsid w:val="005A6587"/>
    <w:rsid w:val="005B4553"/>
    <w:rsid w:val="005B54C4"/>
    <w:rsid w:val="005C1035"/>
    <w:rsid w:val="005C1EEF"/>
    <w:rsid w:val="005E37C6"/>
    <w:rsid w:val="005E4351"/>
    <w:rsid w:val="005F4D17"/>
    <w:rsid w:val="006146F3"/>
    <w:rsid w:val="00620496"/>
    <w:rsid w:val="006207ED"/>
    <w:rsid w:val="00620817"/>
    <w:rsid w:val="006275EA"/>
    <w:rsid w:val="006276EE"/>
    <w:rsid w:val="00627E92"/>
    <w:rsid w:val="00631E30"/>
    <w:rsid w:val="00631FA1"/>
    <w:rsid w:val="00634AA8"/>
    <w:rsid w:val="00635DD6"/>
    <w:rsid w:val="00644DD5"/>
    <w:rsid w:val="00646B91"/>
    <w:rsid w:val="00652ECD"/>
    <w:rsid w:val="00653F05"/>
    <w:rsid w:val="00656123"/>
    <w:rsid w:val="006564A7"/>
    <w:rsid w:val="0066122C"/>
    <w:rsid w:val="00665AA4"/>
    <w:rsid w:val="00666B67"/>
    <w:rsid w:val="00676001"/>
    <w:rsid w:val="00676137"/>
    <w:rsid w:val="00683E28"/>
    <w:rsid w:val="006844F8"/>
    <w:rsid w:val="00690CAA"/>
    <w:rsid w:val="0069156F"/>
    <w:rsid w:val="0069695C"/>
    <w:rsid w:val="00696B0F"/>
    <w:rsid w:val="006972AB"/>
    <w:rsid w:val="006A3B80"/>
    <w:rsid w:val="006A5D44"/>
    <w:rsid w:val="006A7D52"/>
    <w:rsid w:val="006B2E21"/>
    <w:rsid w:val="006B3F3F"/>
    <w:rsid w:val="006B4711"/>
    <w:rsid w:val="006C0B1B"/>
    <w:rsid w:val="006C350B"/>
    <w:rsid w:val="006C6455"/>
    <w:rsid w:val="006D1C5E"/>
    <w:rsid w:val="006D48C2"/>
    <w:rsid w:val="006D6188"/>
    <w:rsid w:val="006E0A9A"/>
    <w:rsid w:val="006E5859"/>
    <w:rsid w:val="006E5F55"/>
    <w:rsid w:val="006F1FAE"/>
    <w:rsid w:val="006F4F58"/>
    <w:rsid w:val="006F5311"/>
    <w:rsid w:val="00701127"/>
    <w:rsid w:val="00703296"/>
    <w:rsid w:val="00703D12"/>
    <w:rsid w:val="00704B3A"/>
    <w:rsid w:val="0070515B"/>
    <w:rsid w:val="00705239"/>
    <w:rsid w:val="007106ED"/>
    <w:rsid w:val="007142FE"/>
    <w:rsid w:val="007174AD"/>
    <w:rsid w:val="00720AA5"/>
    <w:rsid w:val="00721A80"/>
    <w:rsid w:val="0072303D"/>
    <w:rsid w:val="00725763"/>
    <w:rsid w:val="00726A1C"/>
    <w:rsid w:val="00730412"/>
    <w:rsid w:val="00747B27"/>
    <w:rsid w:val="007543D1"/>
    <w:rsid w:val="00756621"/>
    <w:rsid w:val="00763CB7"/>
    <w:rsid w:val="00765842"/>
    <w:rsid w:val="00771759"/>
    <w:rsid w:val="00775D4B"/>
    <w:rsid w:val="007765AE"/>
    <w:rsid w:val="00795B57"/>
    <w:rsid w:val="00795F00"/>
    <w:rsid w:val="007A46BE"/>
    <w:rsid w:val="007A5204"/>
    <w:rsid w:val="007B3B7C"/>
    <w:rsid w:val="007B72F1"/>
    <w:rsid w:val="007C24E7"/>
    <w:rsid w:val="007C5D36"/>
    <w:rsid w:val="007C7915"/>
    <w:rsid w:val="007E1F96"/>
    <w:rsid w:val="007E6077"/>
    <w:rsid w:val="007F5516"/>
    <w:rsid w:val="007F7581"/>
    <w:rsid w:val="00800EC6"/>
    <w:rsid w:val="008034D3"/>
    <w:rsid w:val="008212BD"/>
    <w:rsid w:val="008216E0"/>
    <w:rsid w:val="00824AE2"/>
    <w:rsid w:val="00831411"/>
    <w:rsid w:val="00831C1E"/>
    <w:rsid w:val="0083226B"/>
    <w:rsid w:val="008330CC"/>
    <w:rsid w:val="00836E37"/>
    <w:rsid w:val="00845477"/>
    <w:rsid w:val="008603A9"/>
    <w:rsid w:val="00864F7A"/>
    <w:rsid w:val="00866699"/>
    <w:rsid w:val="008674C6"/>
    <w:rsid w:val="008734AA"/>
    <w:rsid w:val="00881C2F"/>
    <w:rsid w:val="00890519"/>
    <w:rsid w:val="00896276"/>
    <w:rsid w:val="0089734D"/>
    <w:rsid w:val="008A611D"/>
    <w:rsid w:val="008B0742"/>
    <w:rsid w:val="008B0776"/>
    <w:rsid w:val="008B30A7"/>
    <w:rsid w:val="008B5C5A"/>
    <w:rsid w:val="008B6716"/>
    <w:rsid w:val="008B780B"/>
    <w:rsid w:val="008C01F5"/>
    <w:rsid w:val="008C0EAE"/>
    <w:rsid w:val="008C4965"/>
    <w:rsid w:val="008C4DA6"/>
    <w:rsid w:val="008D357E"/>
    <w:rsid w:val="008E5B07"/>
    <w:rsid w:val="008E6EE4"/>
    <w:rsid w:val="008F66E7"/>
    <w:rsid w:val="00902462"/>
    <w:rsid w:val="00907107"/>
    <w:rsid w:val="00911F80"/>
    <w:rsid w:val="0091383E"/>
    <w:rsid w:val="00914596"/>
    <w:rsid w:val="00916CE2"/>
    <w:rsid w:val="00920552"/>
    <w:rsid w:val="00921219"/>
    <w:rsid w:val="009307FF"/>
    <w:rsid w:val="00930A56"/>
    <w:rsid w:val="00930B04"/>
    <w:rsid w:val="009353E3"/>
    <w:rsid w:val="0093603D"/>
    <w:rsid w:val="00936B89"/>
    <w:rsid w:val="00937654"/>
    <w:rsid w:val="009409E6"/>
    <w:rsid w:val="00943154"/>
    <w:rsid w:val="00946727"/>
    <w:rsid w:val="00950AF0"/>
    <w:rsid w:val="009513AE"/>
    <w:rsid w:val="0096660F"/>
    <w:rsid w:val="00971B8B"/>
    <w:rsid w:val="00982C9E"/>
    <w:rsid w:val="0098495A"/>
    <w:rsid w:val="009863F4"/>
    <w:rsid w:val="009910F0"/>
    <w:rsid w:val="009961CD"/>
    <w:rsid w:val="009A12CD"/>
    <w:rsid w:val="009A54E7"/>
    <w:rsid w:val="009A6DB0"/>
    <w:rsid w:val="009B1047"/>
    <w:rsid w:val="009B1350"/>
    <w:rsid w:val="009B34EA"/>
    <w:rsid w:val="009D0D6D"/>
    <w:rsid w:val="009D148A"/>
    <w:rsid w:val="009D2A60"/>
    <w:rsid w:val="009D4D69"/>
    <w:rsid w:val="009D6756"/>
    <w:rsid w:val="009E0E59"/>
    <w:rsid w:val="009E11DB"/>
    <w:rsid w:val="009E241B"/>
    <w:rsid w:val="009E4140"/>
    <w:rsid w:val="009F3449"/>
    <w:rsid w:val="009F3837"/>
    <w:rsid w:val="00A01B18"/>
    <w:rsid w:val="00A06262"/>
    <w:rsid w:val="00A06358"/>
    <w:rsid w:val="00A06B09"/>
    <w:rsid w:val="00A13731"/>
    <w:rsid w:val="00A13E28"/>
    <w:rsid w:val="00A1624C"/>
    <w:rsid w:val="00A16694"/>
    <w:rsid w:val="00A201DC"/>
    <w:rsid w:val="00A20E18"/>
    <w:rsid w:val="00A23D24"/>
    <w:rsid w:val="00A2578C"/>
    <w:rsid w:val="00A2620A"/>
    <w:rsid w:val="00A32E43"/>
    <w:rsid w:val="00A33397"/>
    <w:rsid w:val="00A444D1"/>
    <w:rsid w:val="00A4551C"/>
    <w:rsid w:val="00A470C6"/>
    <w:rsid w:val="00A50263"/>
    <w:rsid w:val="00A52B56"/>
    <w:rsid w:val="00A53B5F"/>
    <w:rsid w:val="00A54D79"/>
    <w:rsid w:val="00A56A47"/>
    <w:rsid w:val="00A66801"/>
    <w:rsid w:val="00A70015"/>
    <w:rsid w:val="00A70F39"/>
    <w:rsid w:val="00A77564"/>
    <w:rsid w:val="00A81CE3"/>
    <w:rsid w:val="00A94E67"/>
    <w:rsid w:val="00A968E1"/>
    <w:rsid w:val="00AA564D"/>
    <w:rsid w:val="00AB7B07"/>
    <w:rsid w:val="00AC607A"/>
    <w:rsid w:val="00AC60EA"/>
    <w:rsid w:val="00AD0EF3"/>
    <w:rsid w:val="00AD2017"/>
    <w:rsid w:val="00AD52F2"/>
    <w:rsid w:val="00AD6404"/>
    <w:rsid w:val="00AD68DA"/>
    <w:rsid w:val="00AD758B"/>
    <w:rsid w:val="00AD78F4"/>
    <w:rsid w:val="00AF24AD"/>
    <w:rsid w:val="00AF2F2B"/>
    <w:rsid w:val="00AF3F4F"/>
    <w:rsid w:val="00AF4B28"/>
    <w:rsid w:val="00AF580F"/>
    <w:rsid w:val="00B036FE"/>
    <w:rsid w:val="00B049A5"/>
    <w:rsid w:val="00B05F96"/>
    <w:rsid w:val="00B07899"/>
    <w:rsid w:val="00B12099"/>
    <w:rsid w:val="00B203E3"/>
    <w:rsid w:val="00B27AE1"/>
    <w:rsid w:val="00B3594C"/>
    <w:rsid w:val="00B411C1"/>
    <w:rsid w:val="00B56CDF"/>
    <w:rsid w:val="00B57D8A"/>
    <w:rsid w:val="00B808D4"/>
    <w:rsid w:val="00B81BDC"/>
    <w:rsid w:val="00B82696"/>
    <w:rsid w:val="00B96466"/>
    <w:rsid w:val="00B974FF"/>
    <w:rsid w:val="00BA000E"/>
    <w:rsid w:val="00BA19D5"/>
    <w:rsid w:val="00BA374F"/>
    <w:rsid w:val="00BA52EF"/>
    <w:rsid w:val="00BA56EB"/>
    <w:rsid w:val="00BC145F"/>
    <w:rsid w:val="00BC19CF"/>
    <w:rsid w:val="00BC397B"/>
    <w:rsid w:val="00BC3B94"/>
    <w:rsid w:val="00BC4EA6"/>
    <w:rsid w:val="00BD46F3"/>
    <w:rsid w:val="00BD77D6"/>
    <w:rsid w:val="00BE4D1B"/>
    <w:rsid w:val="00BF23F9"/>
    <w:rsid w:val="00BF45B6"/>
    <w:rsid w:val="00BF63CB"/>
    <w:rsid w:val="00BF6954"/>
    <w:rsid w:val="00C003E1"/>
    <w:rsid w:val="00C02BA4"/>
    <w:rsid w:val="00C1013D"/>
    <w:rsid w:val="00C11521"/>
    <w:rsid w:val="00C12127"/>
    <w:rsid w:val="00C1547F"/>
    <w:rsid w:val="00C3137C"/>
    <w:rsid w:val="00C361CD"/>
    <w:rsid w:val="00C4155E"/>
    <w:rsid w:val="00C42CD5"/>
    <w:rsid w:val="00C45AF4"/>
    <w:rsid w:val="00C475C0"/>
    <w:rsid w:val="00C47A2A"/>
    <w:rsid w:val="00C54912"/>
    <w:rsid w:val="00C54B6A"/>
    <w:rsid w:val="00C5554C"/>
    <w:rsid w:val="00C57126"/>
    <w:rsid w:val="00C60ECE"/>
    <w:rsid w:val="00C634C8"/>
    <w:rsid w:val="00C65C32"/>
    <w:rsid w:val="00C774A1"/>
    <w:rsid w:val="00C82EAD"/>
    <w:rsid w:val="00C85A70"/>
    <w:rsid w:val="00C95D3B"/>
    <w:rsid w:val="00CC0082"/>
    <w:rsid w:val="00CC057C"/>
    <w:rsid w:val="00CC3D4A"/>
    <w:rsid w:val="00CD7A4B"/>
    <w:rsid w:val="00CD7AE1"/>
    <w:rsid w:val="00CE0AA5"/>
    <w:rsid w:val="00CE1468"/>
    <w:rsid w:val="00CE2450"/>
    <w:rsid w:val="00CF0FB4"/>
    <w:rsid w:val="00D072D4"/>
    <w:rsid w:val="00D0744F"/>
    <w:rsid w:val="00D119F8"/>
    <w:rsid w:val="00D17773"/>
    <w:rsid w:val="00D17AF5"/>
    <w:rsid w:val="00D17C7A"/>
    <w:rsid w:val="00D20FC6"/>
    <w:rsid w:val="00D239C7"/>
    <w:rsid w:val="00D30BC6"/>
    <w:rsid w:val="00D3289C"/>
    <w:rsid w:val="00D32F4C"/>
    <w:rsid w:val="00D339D2"/>
    <w:rsid w:val="00D35243"/>
    <w:rsid w:val="00D3589F"/>
    <w:rsid w:val="00D37004"/>
    <w:rsid w:val="00D51B0B"/>
    <w:rsid w:val="00D548D6"/>
    <w:rsid w:val="00D56098"/>
    <w:rsid w:val="00D71955"/>
    <w:rsid w:val="00D73873"/>
    <w:rsid w:val="00D75214"/>
    <w:rsid w:val="00D8067B"/>
    <w:rsid w:val="00D958C7"/>
    <w:rsid w:val="00D96784"/>
    <w:rsid w:val="00DA2467"/>
    <w:rsid w:val="00DA3DA7"/>
    <w:rsid w:val="00DA4147"/>
    <w:rsid w:val="00DA5DF2"/>
    <w:rsid w:val="00DB1421"/>
    <w:rsid w:val="00DB2C70"/>
    <w:rsid w:val="00DB4688"/>
    <w:rsid w:val="00DB5990"/>
    <w:rsid w:val="00DB6C63"/>
    <w:rsid w:val="00DC052E"/>
    <w:rsid w:val="00DC24C7"/>
    <w:rsid w:val="00DC2AA7"/>
    <w:rsid w:val="00DC4709"/>
    <w:rsid w:val="00DC7127"/>
    <w:rsid w:val="00DD0991"/>
    <w:rsid w:val="00DD1207"/>
    <w:rsid w:val="00DD302E"/>
    <w:rsid w:val="00DD3D84"/>
    <w:rsid w:val="00DD4038"/>
    <w:rsid w:val="00DD4061"/>
    <w:rsid w:val="00DF1735"/>
    <w:rsid w:val="00DF1A80"/>
    <w:rsid w:val="00DF3012"/>
    <w:rsid w:val="00DF6E2A"/>
    <w:rsid w:val="00E04563"/>
    <w:rsid w:val="00E07B1A"/>
    <w:rsid w:val="00E1255C"/>
    <w:rsid w:val="00E168DB"/>
    <w:rsid w:val="00E215F5"/>
    <w:rsid w:val="00E3183F"/>
    <w:rsid w:val="00E3550D"/>
    <w:rsid w:val="00E3699B"/>
    <w:rsid w:val="00E4428D"/>
    <w:rsid w:val="00E45E94"/>
    <w:rsid w:val="00E4753C"/>
    <w:rsid w:val="00E524EA"/>
    <w:rsid w:val="00E534F4"/>
    <w:rsid w:val="00E5589E"/>
    <w:rsid w:val="00E61036"/>
    <w:rsid w:val="00E64871"/>
    <w:rsid w:val="00E763F7"/>
    <w:rsid w:val="00E816DF"/>
    <w:rsid w:val="00E81979"/>
    <w:rsid w:val="00E82F23"/>
    <w:rsid w:val="00E856F5"/>
    <w:rsid w:val="00E95910"/>
    <w:rsid w:val="00EA1F41"/>
    <w:rsid w:val="00EA3418"/>
    <w:rsid w:val="00EA6578"/>
    <w:rsid w:val="00EB498C"/>
    <w:rsid w:val="00EB6360"/>
    <w:rsid w:val="00EC41D5"/>
    <w:rsid w:val="00EC4ECB"/>
    <w:rsid w:val="00EC5CF5"/>
    <w:rsid w:val="00EC6DC5"/>
    <w:rsid w:val="00EC783C"/>
    <w:rsid w:val="00EE39C2"/>
    <w:rsid w:val="00EE3A6F"/>
    <w:rsid w:val="00EF2560"/>
    <w:rsid w:val="00F15236"/>
    <w:rsid w:val="00F174F8"/>
    <w:rsid w:val="00F23C58"/>
    <w:rsid w:val="00F2448B"/>
    <w:rsid w:val="00F25007"/>
    <w:rsid w:val="00F27356"/>
    <w:rsid w:val="00F324D4"/>
    <w:rsid w:val="00F340B3"/>
    <w:rsid w:val="00F42922"/>
    <w:rsid w:val="00F44E20"/>
    <w:rsid w:val="00F47984"/>
    <w:rsid w:val="00F47BD2"/>
    <w:rsid w:val="00F511ED"/>
    <w:rsid w:val="00F51C8E"/>
    <w:rsid w:val="00F52318"/>
    <w:rsid w:val="00F6541C"/>
    <w:rsid w:val="00F65BC2"/>
    <w:rsid w:val="00F7254C"/>
    <w:rsid w:val="00F731CA"/>
    <w:rsid w:val="00F75FF5"/>
    <w:rsid w:val="00F76FE6"/>
    <w:rsid w:val="00F847E1"/>
    <w:rsid w:val="00F914C2"/>
    <w:rsid w:val="00F9389A"/>
    <w:rsid w:val="00F97311"/>
    <w:rsid w:val="00FA6492"/>
    <w:rsid w:val="00FA6858"/>
    <w:rsid w:val="00FB2B5E"/>
    <w:rsid w:val="00FB2E85"/>
    <w:rsid w:val="00FB4905"/>
    <w:rsid w:val="00FB7B93"/>
    <w:rsid w:val="00FC0548"/>
    <w:rsid w:val="00FC18A6"/>
    <w:rsid w:val="00FC2009"/>
    <w:rsid w:val="00FC3583"/>
    <w:rsid w:val="00FD0203"/>
    <w:rsid w:val="00FD2290"/>
    <w:rsid w:val="00FD546B"/>
    <w:rsid w:val="00FD7073"/>
    <w:rsid w:val="00FD76D8"/>
    <w:rsid w:val="00FE1573"/>
    <w:rsid w:val="00FE446F"/>
    <w:rsid w:val="00FE7024"/>
    <w:rsid w:val="00FE7DF9"/>
    <w:rsid w:val="00FF2895"/>
    <w:rsid w:val="00FF2C97"/>
    <w:rsid w:val="00FF687E"/>
    <w:rsid w:val="00FF6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4C1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6680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B43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740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7</Pages>
  <Words>7234</Words>
  <Characters>4124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2017-10-30T11:46:00Z</dcterms:created>
  <dcterms:modified xsi:type="dcterms:W3CDTF">2017-10-30T22:37:00Z</dcterms:modified>
</cp:coreProperties>
</file>