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62C9" w:rsidRPr="00FD6D83" w:rsidRDefault="001F62C9" w:rsidP="00704A50">
      <w:pPr>
        <w:spacing w:after="0" w:line="360" w:lineRule="auto"/>
        <w:jc w:val="right"/>
        <w:rPr>
          <w:rFonts w:ascii="Times New Roman" w:hAnsi="Times New Roman"/>
          <w:b/>
          <w:sz w:val="28"/>
          <w:szCs w:val="28"/>
          <w:lang w:val="uk-UA"/>
        </w:rPr>
      </w:pPr>
      <w:r w:rsidRPr="00FD6D83">
        <w:rPr>
          <w:rFonts w:ascii="Times New Roman" w:hAnsi="Times New Roman"/>
          <w:b/>
          <w:sz w:val="28"/>
          <w:szCs w:val="28"/>
        </w:rPr>
        <w:t>Соф</w:t>
      </w:r>
      <w:r w:rsidRPr="00FD6D83">
        <w:rPr>
          <w:rFonts w:ascii="Times New Roman" w:hAnsi="Times New Roman"/>
          <w:b/>
          <w:sz w:val="28"/>
          <w:szCs w:val="28"/>
          <w:lang w:val="uk-UA"/>
        </w:rPr>
        <w:t xml:space="preserve">ія </w:t>
      </w:r>
      <w:r w:rsidRPr="00FD6D83">
        <w:rPr>
          <w:rFonts w:ascii="Times New Roman" w:hAnsi="Times New Roman"/>
          <w:b/>
          <w:sz w:val="28"/>
          <w:szCs w:val="28"/>
        </w:rPr>
        <w:t xml:space="preserve">Федоряка </w:t>
      </w:r>
    </w:p>
    <w:p w:rsidR="001F62C9" w:rsidRPr="00FD6D83" w:rsidRDefault="001F62C9" w:rsidP="00704A50">
      <w:pPr>
        <w:spacing w:after="0" w:line="360" w:lineRule="auto"/>
        <w:jc w:val="right"/>
        <w:rPr>
          <w:rFonts w:ascii="Times New Roman" w:hAnsi="Times New Roman"/>
          <w:b/>
          <w:color w:val="222222"/>
          <w:sz w:val="28"/>
          <w:szCs w:val="28"/>
          <w:shd w:val="clear" w:color="auto" w:fill="FFFFFF"/>
          <w:lang w:val="uk-UA" w:eastAsia="ru-RU"/>
        </w:rPr>
      </w:pPr>
      <w:r w:rsidRPr="00FD6D83">
        <w:rPr>
          <w:rFonts w:ascii="Times New Roman" w:hAnsi="Times New Roman"/>
          <w:b/>
          <w:color w:val="222222"/>
          <w:sz w:val="28"/>
          <w:szCs w:val="28"/>
          <w:shd w:val="clear" w:color="auto" w:fill="FFFFFF"/>
          <w:lang w:val="uk-UA" w:eastAsia="ru-RU"/>
        </w:rPr>
        <w:t>(Дніпро, Україна)</w:t>
      </w:r>
    </w:p>
    <w:p w:rsidR="001F62C9" w:rsidRPr="00FD6D83" w:rsidRDefault="001F62C9" w:rsidP="00704A50">
      <w:pPr>
        <w:spacing w:after="0" w:line="360" w:lineRule="auto"/>
        <w:jc w:val="center"/>
        <w:rPr>
          <w:rFonts w:ascii="Times New Roman" w:hAnsi="Times New Roman"/>
          <w:color w:val="222222"/>
          <w:sz w:val="28"/>
          <w:szCs w:val="28"/>
          <w:shd w:val="clear" w:color="auto" w:fill="FFFFFF"/>
          <w:lang w:eastAsia="ru-RU"/>
        </w:rPr>
      </w:pPr>
    </w:p>
    <w:p w:rsidR="001F62C9" w:rsidRDefault="001F62C9" w:rsidP="00704A50">
      <w:pPr>
        <w:spacing w:after="0" w:line="360" w:lineRule="auto"/>
        <w:jc w:val="center"/>
        <w:rPr>
          <w:rFonts w:ascii="Times New Roman" w:hAnsi="Times New Roman"/>
          <w:b/>
          <w:sz w:val="28"/>
          <w:szCs w:val="28"/>
          <w:lang w:val="uk-UA"/>
        </w:rPr>
      </w:pPr>
      <w:r>
        <w:rPr>
          <w:rFonts w:ascii="Times New Roman" w:hAnsi="Times New Roman"/>
          <w:b/>
          <w:sz w:val="28"/>
          <w:szCs w:val="28"/>
          <w:lang w:val="uk-UA"/>
        </w:rPr>
        <w:t>ОСОБЛИВОСТІ РЕФОРМУВАННЯ ТА ФІНАНСОВОГО ЗАБЕЗПЕЧЕННЯ  ОБ’ЄДНАНИХ ТЕРИТОРІАЛЬНИХ ГРОМАД В УМОВАХ ДЕЦЕНТРАЛІЗАЦІЇ</w:t>
      </w:r>
    </w:p>
    <w:p w:rsidR="001F62C9" w:rsidRDefault="001F62C9" w:rsidP="00704A50">
      <w:pPr>
        <w:spacing w:after="0" w:line="360" w:lineRule="auto"/>
        <w:jc w:val="center"/>
        <w:rPr>
          <w:rFonts w:ascii="Times New Roman" w:hAnsi="Times New Roman"/>
          <w:b/>
          <w:color w:val="222222"/>
          <w:sz w:val="28"/>
          <w:szCs w:val="28"/>
          <w:shd w:val="clear" w:color="auto" w:fill="FFFFFF"/>
          <w:lang w:val="uk-UA" w:eastAsia="ru-RU"/>
        </w:rPr>
      </w:pPr>
    </w:p>
    <w:p w:rsidR="001F62C9" w:rsidRPr="000D2205" w:rsidRDefault="001F62C9" w:rsidP="000D2205">
      <w:pPr>
        <w:spacing w:after="0" w:line="360" w:lineRule="auto"/>
        <w:ind w:firstLine="709"/>
        <w:jc w:val="both"/>
        <w:rPr>
          <w:rFonts w:ascii="Times New Roman" w:hAnsi="Times New Roman"/>
          <w:color w:val="222222"/>
          <w:sz w:val="28"/>
          <w:szCs w:val="28"/>
          <w:shd w:val="clear" w:color="auto" w:fill="FFFFFF"/>
          <w:lang w:val="uk-UA" w:eastAsia="ru-RU"/>
        </w:rPr>
      </w:pPr>
      <w:r w:rsidRPr="000D2205">
        <w:rPr>
          <w:rFonts w:ascii="Times New Roman" w:hAnsi="Times New Roman"/>
          <w:color w:val="222222"/>
          <w:sz w:val="28"/>
          <w:szCs w:val="28"/>
          <w:shd w:val="clear" w:color="auto" w:fill="FFFFFF"/>
          <w:lang w:val="uk-UA" w:eastAsia="ru-RU"/>
        </w:rPr>
        <w:t xml:space="preserve">Питання забезпечення сталого розвитку на місцевому територіальному рівні є надзвичайно актуальними з огляду на потребу низовинної стабілізації соціально-економічного життя нашої держави в умовах економічної кризи та проведення реформи  децентралізації. В процесі трансформації місцевого самоуправління принципове значення має належне забезпечення матеріально-фінансової автономії територіальних громад, яка можлива за умови реалізації конституційного принципу самостійності місцевих бюджетів. </w:t>
      </w:r>
    </w:p>
    <w:p w:rsidR="001F62C9" w:rsidRPr="000D2205" w:rsidRDefault="001F62C9" w:rsidP="000D2205">
      <w:pPr>
        <w:spacing w:after="0" w:line="360" w:lineRule="auto"/>
        <w:ind w:firstLine="709"/>
        <w:jc w:val="both"/>
        <w:rPr>
          <w:rFonts w:ascii="Times New Roman" w:hAnsi="Times New Roman"/>
          <w:color w:val="222222"/>
          <w:sz w:val="28"/>
          <w:szCs w:val="28"/>
          <w:shd w:val="clear" w:color="auto" w:fill="FFFFFF"/>
          <w:lang w:val="uk-UA" w:eastAsia="ru-RU"/>
        </w:rPr>
      </w:pPr>
      <w:r w:rsidRPr="000D2205">
        <w:rPr>
          <w:rFonts w:ascii="Times New Roman" w:hAnsi="Times New Roman"/>
          <w:color w:val="222222"/>
          <w:sz w:val="28"/>
          <w:szCs w:val="28"/>
          <w:shd w:val="clear" w:color="auto" w:fill="FFFFFF"/>
          <w:lang w:val="uk-UA" w:eastAsia="ru-RU"/>
        </w:rPr>
        <w:t>Фінансова неспроможність територіальних громад в Україні спричинена, серед іншого, особливостями національної бюджетної системи, а саме обмеженістю дохідної бази місцевих бюджетів. В Європейській хартії місцевого самоврядування зазначається, що  такі бюджети  мають наповнюватися за рахунок місцевих податків та зборів, розмір яких місцева влада встановлює самостійно у межах належних їй повноважень. Тому виникає потреба у визначенні на довгостроковій основі джерел власних доходів місцевих бюджетів. Таким чином, гостро стоїть питання про збільшення обсягу фінансових ресурсів у розпорядженні органів місцевого самоврядування і формування фінансово спроможних територіальних громад. Це сприятиме створенню засад сталого розвитку об’єднаних територіальних громад через збалансування економічних, екологічних та соціальних інтересів місцево рівня.</w:t>
      </w:r>
    </w:p>
    <w:p w:rsidR="001F62C9" w:rsidRDefault="001F62C9" w:rsidP="000D2205">
      <w:pPr>
        <w:spacing w:after="0" w:line="360" w:lineRule="auto"/>
        <w:ind w:firstLine="709"/>
        <w:jc w:val="both"/>
        <w:rPr>
          <w:rFonts w:ascii="Times New Roman" w:hAnsi="Times New Roman"/>
          <w:color w:val="222222"/>
          <w:sz w:val="28"/>
          <w:szCs w:val="28"/>
          <w:shd w:val="clear" w:color="auto" w:fill="FFFFFF"/>
          <w:lang w:val="uk-UA" w:eastAsia="ru-RU"/>
        </w:rPr>
      </w:pPr>
      <w:r w:rsidRPr="000D2205">
        <w:rPr>
          <w:rFonts w:ascii="Times New Roman" w:hAnsi="Times New Roman"/>
          <w:color w:val="222222"/>
          <w:sz w:val="28"/>
          <w:szCs w:val="28"/>
          <w:shd w:val="clear" w:color="auto" w:fill="FFFFFF"/>
          <w:lang w:val="uk-UA" w:eastAsia="ru-RU"/>
        </w:rPr>
        <w:t>Починаюч</w:t>
      </w:r>
      <w:r>
        <w:rPr>
          <w:rFonts w:ascii="Times New Roman" w:hAnsi="Times New Roman"/>
          <w:color w:val="222222"/>
          <w:sz w:val="28"/>
          <w:szCs w:val="28"/>
          <w:shd w:val="clear" w:color="auto" w:fill="FFFFFF"/>
          <w:lang w:val="uk-UA" w:eastAsia="ru-RU"/>
        </w:rPr>
        <w:t>и з 2014 року в Україні прийнят</w:t>
      </w:r>
      <w:r w:rsidRPr="000D2205">
        <w:rPr>
          <w:rFonts w:ascii="Times New Roman" w:hAnsi="Times New Roman"/>
          <w:color w:val="222222"/>
          <w:sz w:val="28"/>
          <w:szCs w:val="28"/>
          <w:shd w:val="clear" w:color="auto" w:fill="FFFFFF"/>
          <w:lang w:val="uk-UA" w:eastAsia="ru-RU"/>
        </w:rPr>
        <w:t>о багато важливих нормативно-правових актів, які стосуються децентралізаці</w:t>
      </w:r>
      <w:r>
        <w:rPr>
          <w:rFonts w:ascii="Times New Roman" w:hAnsi="Times New Roman"/>
          <w:color w:val="222222"/>
          <w:sz w:val="28"/>
          <w:szCs w:val="28"/>
          <w:shd w:val="clear" w:color="auto" w:fill="FFFFFF"/>
          <w:lang w:val="uk-UA" w:eastAsia="ru-RU"/>
        </w:rPr>
        <w:t>ї та міжбюджетних відносин</w:t>
      </w:r>
      <w:r w:rsidRPr="000D2205">
        <w:rPr>
          <w:rFonts w:ascii="Times New Roman" w:hAnsi="Times New Roman"/>
          <w:color w:val="222222"/>
          <w:sz w:val="28"/>
          <w:szCs w:val="28"/>
          <w:shd w:val="clear" w:color="auto" w:fill="FFFFFF"/>
          <w:lang w:val="uk-UA" w:eastAsia="ru-RU"/>
        </w:rPr>
        <w:t xml:space="preserve">.  Першою стала схвалена Концепція реформування місцевого самоврядування та територіальної організації влади в Україні та затверджено План заходів з її реалізації Урядом України 1 квітня 2014 року. Відповідно до цього плану було внесено зміни до Бюджетного та Податкового кодексів України, якими здійснено перший етап бюджетної децентралізації. Так, зміни до Бюджетного кодексу фактично є основою для стимулювання громад до об’єднання та підвищення їхньої спроможності через механізм переходу бюджетів об’єднаних громад на прямі міжбюджетні відносини з державним бюджетом. У разі об’єднання такі громади наділяються повноваженнями та ресурсами, як у міст обласного значення. </w:t>
      </w:r>
    </w:p>
    <w:p w:rsidR="001F62C9" w:rsidRPr="000D2205" w:rsidRDefault="001F62C9" w:rsidP="000D2205">
      <w:pPr>
        <w:spacing w:after="0" w:line="360" w:lineRule="auto"/>
        <w:ind w:firstLine="709"/>
        <w:jc w:val="both"/>
        <w:rPr>
          <w:rFonts w:ascii="Times New Roman" w:hAnsi="Times New Roman"/>
          <w:color w:val="222222"/>
          <w:sz w:val="28"/>
          <w:szCs w:val="28"/>
          <w:shd w:val="clear" w:color="auto" w:fill="FFFFFF"/>
          <w:lang w:val="uk-UA" w:eastAsia="ru-RU"/>
        </w:rPr>
      </w:pPr>
      <w:r w:rsidRPr="000D2205">
        <w:rPr>
          <w:rFonts w:ascii="Times New Roman" w:hAnsi="Times New Roman"/>
          <w:color w:val="222222"/>
          <w:sz w:val="28"/>
          <w:szCs w:val="28"/>
          <w:shd w:val="clear" w:color="auto" w:fill="FFFFFF"/>
          <w:lang w:val="uk-UA" w:eastAsia="ru-RU"/>
        </w:rPr>
        <w:t>Але все ж таки головною рушійною силою процесу утворення об’єднаних спроможних територіальних громад є фінансове забезпечення їх діяльності, тобто отримання власних повноважень і фінансової бази на виконання цих повноважень.  Змінами до Податкового кодексу України з 2015 року передбачено, що органи місцевого самоврядування встановлюють ставки та пільги по платі за землю не тільки в межах, але і за межами населених пунктів.</w:t>
      </w:r>
    </w:p>
    <w:p w:rsidR="001F62C9" w:rsidRPr="000D2205" w:rsidRDefault="001F62C9" w:rsidP="000D2205">
      <w:pPr>
        <w:spacing w:after="0" w:line="360" w:lineRule="auto"/>
        <w:ind w:firstLine="709"/>
        <w:jc w:val="both"/>
        <w:rPr>
          <w:rFonts w:ascii="Times New Roman" w:hAnsi="Times New Roman"/>
          <w:color w:val="222222"/>
          <w:sz w:val="28"/>
          <w:szCs w:val="28"/>
          <w:shd w:val="clear" w:color="auto" w:fill="FFFFFF"/>
          <w:lang w:val="uk-UA" w:eastAsia="ru-RU"/>
        </w:rPr>
      </w:pPr>
      <w:r w:rsidRPr="000D2205">
        <w:rPr>
          <w:rFonts w:ascii="Times New Roman" w:hAnsi="Times New Roman"/>
          <w:color w:val="222222"/>
          <w:sz w:val="28"/>
          <w:szCs w:val="28"/>
          <w:shd w:val="clear" w:color="auto" w:fill="FFFFFF"/>
          <w:lang w:val="uk-UA" w:eastAsia="ru-RU"/>
        </w:rPr>
        <w:t>Децентралізація в Україні торкнулася і загальнодержавних податків, частина з яких має перерозподілятися до місцевих бюджетів, в деяких випадках лише об’єднаних територіальних громад.</w:t>
      </w:r>
    </w:p>
    <w:p w:rsidR="001F62C9" w:rsidRPr="000D2205" w:rsidRDefault="001F62C9" w:rsidP="000D2205">
      <w:pPr>
        <w:spacing w:after="0" w:line="360" w:lineRule="auto"/>
        <w:ind w:firstLine="709"/>
        <w:jc w:val="both"/>
        <w:rPr>
          <w:rFonts w:ascii="Times New Roman" w:hAnsi="Times New Roman"/>
          <w:color w:val="222222"/>
          <w:sz w:val="28"/>
          <w:szCs w:val="28"/>
          <w:shd w:val="clear" w:color="auto" w:fill="FFFFFF"/>
          <w:lang w:val="uk-UA" w:eastAsia="ru-RU"/>
        </w:rPr>
      </w:pPr>
      <w:r w:rsidRPr="000D2205">
        <w:rPr>
          <w:rFonts w:ascii="Times New Roman" w:hAnsi="Times New Roman"/>
          <w:color w:val="222222"/>
          <w:sz w:val="28"/>
          <w:szCs w:val="28"/>
          <w:shd w:val="clear" w:color="auto" w:fill="FFFFFF"/>
          <w:lang w:val="uk-UA" w:eastAsia="ru-RU"/>
        </w:rPr>
        <w:t>Таким чином, податкові надходження до місцевих бюджетів об’єднаних територіальних громад згідно з Бюджетним кодексом є:</w:t>
      </w:r>
    </w:p>
    <w:p w:rsidR="001F62C9" w:rsidRPr="000D2205" w:rsidRDefault="001F62C9" w:rsidP="000D2205">
      <w:pPr>
        <w:spacing w:after="0" w:line="360" w:lineRule="auto"/>
        <w:ind w:firstLine="709"/>
        <w:jc w:val="both"/>
        <w:rPr>
          <w:rFonts w:ascii="Times New Roman" w:hAnsi="Times New Roman"/>
          <w:color w:val="222222"/>
          <w:sz w:val="28"/>
          <w:szCs w:val="28"/>
          <w:shd w:val="clear" w:color="auto" w:fill="FFFFFF"/>
          <w:lang w:val="uk-UA" w:eastAsia="ru-RU"/>
        </w:rPr>
      </w:pPr>
      <w:r w:rsidRPr="000D2205">
        <w:rPr>
          <w:rFonts w:ascii="Times New Roman" w:hAnsi="Times New Roman"/>
          <w:color w:val="222222"/>
          <w:sz w:val="28"/>
          <w:szCs w:val="28"/>
          <w:shd w:val="clear" w:color="auto" w:fill="FFFFFF"/>
          <w:lang w:val="uk-UA" w:eastAsia="ru-RU"/>
        </w:rPr>
        <w:t>1) 60% податок на доходи фізичних осіб.</w:t>
      </w:r>
    </w:p>
    <w:p w:rsidR="001F62C9" w:rsidRPr="000D2205" w:rsidRDefault="001F62C9" w:rsidP="000D2205">
      <w:pPr>
        <w:spacing w:after="0" w:line="360" w:lineRule="auto"/>
        <w:ind w:firstLine="709"/>
        <w:jc w:val="both"/>
        <w:rPr>
          <w:rFonts w:ascii="Times New Roman" w:hAnsi="Times New Roman"/>
          <w:color w:val="222222"/>
          <w:sz w:val="28"/>
          <w:szCs w:val="28"/>
          <w:shd w:val="clear" w:color="auto" w:fill="FFFFFF"/>
          <w:lang w:val="uk-UA" w:eastAsia="ru-RU"/>
        </w:rPr>
      </w:pPr>
      <w:r w:rsidRPr="000D2205">
        <w:rPr>
          <w:rFonts w:ascii="Times New Roman" w:hAnsi="Times New Roman"/>
          <w:color w:val="222222"/>
          <w:sz w:val="28"/>
          <w:szCs w:val="28"/>
          <w:shd w:val="clear" w:color="auto" w:fill="FFFFFF"/>
          <w:lang w:val="uk-UA" w:eastAsia="ru-RU"/>
        </w:rPr>
        <w:t>2) 25% екологічного податку.</w:t>
      </w:r>
    </w:p>
    <w:p w:rsidR="001F62C9" w:rsidRPr="000D2205" w:rsidRDefault="001F62C9" w:rsidP="000D2205">
      <w:pPr>
        <w:spacing w:after="0" w:line="360" w:lineRule="auto"/>
        <w:ind w:firstLine="709"/>
        <w:jc w:val="both"/>
        <w:rPr>
          <w:rFonts w:ascii="Times New Roman" w:hAnsi="Times New Roman"/>
          <w:color w:val="222222"/>
          <w:sz w:val="28"/>
          <w:szCs w:val="28"/>
          <w:shd w:val="clear" w:color="auto" w:fill="FFFFFF"/>
          <w:lang w:val="uk-UA" w:eastAsia="ru-RU"/>
        </w:rPr>
      </w:pPr>
      <w:r w:rsidRPr="000D2205">
        <w:rPr>
          <w:rFonts w:ascii="Times New Roman" w:hAnsi="Times New Roman"/>
          <w:color w:val="222222"/>
          <w:sz w:val="28"/>
          <w:szCs w:val="28"/>
          <w:shd w:val="clear" w:color="auto" w:fill="FFFFFF"/>
          <w:lang w:val="uk-UA" w:eastAsia="ru-RU"/>
        </w:rPr>
        <w:t>3) 100% акцизного податку з реалізації підакцизних товарів.</w:t>
      </w:r>
    </w:p>
    <w:p w:rsidR="001F62C9" w:rsidRPr="000D2205" w:rsidRDefault="001F62C9" w:rsidP="000D2205">
      <w:pPr>
        <w:spacing w:after="0" w:line="360" w:lineRule="auto"/>
        <w:ind w:firstLine="709"/>
        <w:jc w:val="both"/>
        <w:rPr>
          <w:rFonts w:ascii="Times New Roman" w:hAnsi="Times New Roman"/>
          <w:color w:val="222222"/>
          <w:sz w:val="28"/>
          <w:szCs w:val="28"/>
          <w:shd w:val="clear" w:color="auto" w:fill="FFFFFF"/>
          <w:lang w:val="uk-UA" w:eastAsia="ru-RU"/>
        </w:rPr>
      </w:pPr>
      <w:r w:rsidRPr="000D2205">
        <w:rPr>
          <w:rFonts w:ascii="Times New Roman" w:hAnsi="Times New Roman"/>
          <w:color w:val="222222"/>
          <w:sz w:val="28"/>
          <w:szCs w:val="28"/>
          <w:shd w:val="clear" w:color="auto" w:fill="FFFFFF"/>
          <w:lang w:val="uk-UA" w:eastAsia="ru-RU"/>
        </w:rPr>
        <w:t>4) 100% єдиного податку.</w:t>
      </w:r>
    </w:p>
    <w:p w:rsidR="001F62C9" w:rsidRPr="000D2205" w:rsidRDefault="001F62C9" w:rsidP="000D2205">
      <w:pPr>
        <w:spacing w:after="0" w:line="360" w:lineRule="auto"/>
        <w:ind w:firstLine="709"/>
        <w:jc w:val="both"/>
        <w:rPr>
          <w:rFonts w:ascii="Times New Roman" w:hAnsi="Times New Roman"/>
          <w:color w:val="222222"/>
          <w:sz w:val="28"/>
          <w:szCs w:val="28"/>
          <w:shd w:val="clear" w:color="auto" w:fill="FFFFFF"/>
          <w:lang w:val="uk-UA" w:eastAsia="ru-RU"/>
        </w:rPr>
      </w:pPr>
      <w:r w:rsidRPr="000D2205">
        <w:rPr>
          <w:rFonts w:ascii="Times New Roman" w:hAnsi="Times New Roman"/>
          <w:color w:val="222222"/>
          <w:sz w:val="28"/>
          <w:szCs w:val="28"/>
          <w:shd w:val="clear" w:color="auto" w:fill="FFFFFF"/>
          <w:lang w:val="uk-UA" w:eastAsia="ru-RU"/>
        </w:rPr>
        <w:t>5) 100% на прибуток підприємств та фінансовіх установ комунальної власності.</w:t>
      </w:r>
    </w:p>
    <w:p w:rsidR="001F62C9" w:rsidRPr="000D2205" w:rsidRDefault="001F62C9" w:rsidP="000D2205">
      <w:pPr>
        <w:spacing w:after="0" w:line="360" w:lineRule="auto"/>
        <w:ind w:firstLine="709"/>
        <w:jc w:val="both"/>
        <w:rPr>
          <w:rFonts w:ascii="Times New Roman" w:hAnsi="Times New Roman"/>
          <w:color w:val="222222"/>
          <w:sz w:val="28"/>
          <w:szCs w:val="28"/>
          <w:shd w:val="clear" w:color="auto" w:fill="FFFFFF"/>
          <w:lang w:val="uk-UA" w:eastAsia="ru-RU"/>
        </w:rPr>
      </w:pPr>
      <w:r w:rsidRPr="000D2205">
        <w:rPr>
          <w:rFonts w:ascii="Times New Roman" w:hAnsi="Times New Roman"/>
          <w:color w:val="222222"/>
          <w:sz w:val="28"/>
          <w:szCs w:val="28"/>
          <w:shd w:val="clear" w:color="auto" w:fill="FFFFFF"/>
          <w:lang w:val="uk-UA" w:eastAsia="ru-RU"/>
        </w:rPr>
        <w:t>6) 100% податку на майно (нерухомість, земля, транспорт).</w:t>
      </w:r>
    </w:p>
    <w:p w:rsidR="001F62C9" w:rsidRPr="000D2205" w:rsidRDefault="001F62C9" w:rsidP="000D2205">
      <w:pPr>
        <w:spacing w:after="0" w:line="360" w:lineRule="auto"/>
        <w:ind w:firstLine="709"/>
        <w:jc w:val="both"/>
        <w:rPr>
          <w:rFonts w:ascii="Times New Roman" w:hAnsi="Times New Roman"/>
          <w:color w:val="222222"/>
          <w:sz w:val="28"/>
          <w:szCs w:val="28"/>
          <w:shd w:val="clear" w:color="auto" w:fill="FFFFFF"/>
          <w:lang w:val="uk-UA" w:eastAsia="ru-RU"/>
        </w:rPr>
      </w:pPr>
      <w:r w:rsidRPr="000D2205">
        <w:rPr>
          <w:rFonts w:ascii="Times New Roman" w:hAnsi="Times New Roman"/>
          <w:color w:val="222222"/>
          <w:sz w:val="28"/>
          <w:szCs w:val="28"/>
          <w:shd w:val="clear" w:color="auto" w:fill="FFFFFF"/>
          <w:lang w:val="uk-UA" w:eastAsia="ru-RU"/>
        </w:rPr>
        <w:t>Крім того, встановлені наступні збори та інші платежі до місцевих бюджетів об’єднаних територіальних громад:</w:t>
      </w:r>
    </w:p>
    <w:p w:rsidR="001F62C9" w:rsidRPr="000D2205" w:rsidRDefault="001F62C9" w:rsidP="000D2205">
      <w:pPr>
        <w:spacing w:after="0" w:line="360" w:lineRule="auto"/>
        <w:ind w:firstLine="709"/>
        <w:jc w:val="both"/>
        <w:rPr>
          <w:rFonts w:ascii="Times New Roman" w:hAnsi="Times New Roman"/>
          <w:color w:val="222222"/>
          <w:sz w:val="28"/>
          <w:szCs w:val="28"/>
          <w:shd w:val="clear" w:color="auto" w:fill="FFFFFF"/>
          <w:lang w:val="uk-UA" w:eastAsia="ru-RU"/>
        </w:rPr>
      </w:pPr>
      <w:r w:rsidRPr="000D2205">
        <w:rPr>
          <w:rFonts w:ascii="Times New Roman" w:hAnsi="Times New Roman"/>
          <w:color w:val="222222"/>
          <w:sz w:val="28"/>
          <w:szCs w:val="28"/>
          <w:shd w:val="clear" w:color="auto" w:fill="FFFFFF"/>
          <w:lang w:val="uk-UA" w:eastAsia="ru-RU"/>
        </w:rPr>
        <w:t>1) Державне мито.</w:t>
      </w:r>
    </w:p>
    <w:p w:rsidR="001F62C9" w:rsidRPr="000D2205" w:rsidRDefault="001F62C9" w:rsidP="000D2205">
      <w:pPr>
        <w:spacing w:after="0" w:line="360" w:lineRule="auto"/>
        <w:ind w:firstLine="709"/>
        <w:jc w:val="both"/>
        <w:rPr>
          <w:rFonts w:ascii="Times New Roman" w:hAnsi="Times New Roman"/>
          <w:color w:val="222222"/>
          <w:sz w:val="28"/>
          <w:szCs w:val="28"/>
          <w:shd w:val="clear" w:color="auto" w:fill="FFFFFF"/>
          <w:lang w:val="uk-UA" w:eastAsia="ru-RU"/>
        </w:rPr>
      </w:pPr>
      <w:r w:rsidRPr="000D2205">
        <w:rPr>
          <w:rFonts w:ascii="Times New Roman" w:hAnsi="Times New Roman"/>
          <w:color w:val="222222"/>
          <w:sz w:val="28"/>
          <w:szCs w:val="28"/>
          <w:shd w:val="clear" w:color="auto" w:fill="FFFFFF"/>
          <w:lang w:val="uk-UA" w:eastAsia="ru-RU"/>
        </w:rPr>
        <w:t>2) Плата за надання адміністративних послуг, адміністративні штрафи та штрафні санкції.</w:t>
      </w:r>
    </w:p>
    <w:p w:rsidR="001F62C9" w:rsidRPr="000D2205" w:rsidRDefault="001F62C9" w:rsidP="000D2205">
      <w:pPr>
        <w:spacing w:after="0" w:line="360" w:lineRule="auto"/>
        <w:ind w:firstLine="709"/>
        <w:jc w:val="both"/>
        <w:rPr>
          <w:rFonts w:ascii="Times New Roman" w:hAnsi="Times New Roman"/>
          <w:color w:val="222222"/>
          <w:sz w:val="28"/>
          <w:szCs w:val="28"/>
          <w:shd w:val="clear" w:color="auto" w:fill="FFFFFF"/>
          <w:lang w:val="uk-UA" w:eastAsia="ru-RU"/>
        </w:rPr>
      </w:pPr>
      <w:r w:rsidRPr="000D2205">
        <w:rPr>
          <w:rFonts w:ascii="Times New Roman" w:hAnsi="Times New Roman"/>
          <w:color w:val="222222"/>
          <w:sz w:val="28"/>
          <w:szCs w:val="28"/>
          <w:shd w:val="clear" w:color="auto" w:fill="FFFFFF"/>
          <w:lang w:val="uk-UA" w:eastAsia="ru-RU"/>
        </w:rPr>
        <w:t>3) Збір за місця паркування транспортних засобів.</w:t>
      </w:r>
    </w:p>
    <w:p w:rsidR="001F62C9" w:rsidRPr="000D2205" w:rsidRDefault="001F62C9" w:rsidP="000D2205">
      <w:pPr>
        <w:spacing w:after="0" w:line="360" w:lineRule="auto"/>
        <w:ind w:firstLine="709"/>
        <w:jc w:val="both"/>
        <w:rPr>
          <w:rFonts w:ascii="Times New Roman" w:hAnsi="Times New Roman"/>
          <w:color w:val="222222"/>
          <w:sz w:val="28"/>
          <w:szCs w:val="28"/>
          <w:shd w:val="clear" w:color="auto" w:fill="FFFFFF"/>
          <w:lang w:val="uk-UA" w:eastAsia="ru-RU"/>
        </w:rPr>
      </w:pPr>
      <w:r w:rsidRPr="000D2205">
        <w:rPr>
          <w:rFonts w:ascii="Times New Roman" w:hAnsi="Times New Roman"/>
          <w:color w:val="222222"/>
          <w:sz w:val="28"/>
          <w:szCs w:val="28"/>
          <w:shd w:val="clear" w:color="auto" w:fill="FFFFFF"/>
          <w:lang w:val="uk-UA" w:eastAsia="ru-RU"/>
        </w:rPr>
        <w:t>4) Туристичний збір;</w:t>
      </w:r>
    </w:p>
    <w:p w:rsidR="001F62C9" w:rsidRPr="000D2205" w:rsidRDefault="001F62C9" w:rsidP="000D2205">
      <w:pPr>
        <w:spacing w:after="0" w:line="360" w:lineRule="auto"/>
        <w:ind w:firstLine="709"/>
        <w:jc w:val="both"/>
        <w:rPr>
          <w:rFonts w:ascii="Times New Roman" w:hAnsi="Times New Roman"/>
          <w:color w:val="222222"/>
          <w:sz w:val="28"/>
          <w:szCs w:val="28"/>
          <w:shd w:val="clear" w:color="auto" w:fill="FFFFFF"/>
          <w:lang w:val="uk-UA" w:eastAsia="ru-RU"/>
        </w:rPr>
      </w:pPr>
      <w:r w:rsidRPr="000D2205">
        <w:rPr>
          <w:rFonts w:ascii="Times New Roman" w:hAnsi="Times New Roman"/>
          <w:color w:val="222222"/>
          <w:sz w:val="28"/>
          <w:szCs w:val="28"/>
          <w:shd w:val="clear" w:color="auto" w:fill="FFFFFF"/>
          <w:lang w:val="uk-UA" w:eastAsia="ru-RU"/>
        </w:rPr>
        <w:t>5) Плата за ліцензії та сертифікати на певні види господарської діяльності.</w:t>
      </w:r>
    </w:p>
    <w:p w:rsidR="001F62C9" w:rsidRPr="000D2205" w:rsidRDefault="001F62C9" w:rsidP="000D2205">
      <w:pPr>
        <w:spacing w:after="0" w:line="360" w:lineRule="auto"/>
        <w:ind w:firstLine="709"/>
        <w:jc w:val="both"/>
        <w:rPr>
          <w:rFonts w:ascii="Times New Roman" w:hAnsi="Times New Roman"/>
          <w:color w:val="222222"/>
          <w:sz w:val="28"/>
          <w:szCs w:val="28"/>
          <w:shd w:val="clear" w:color="auto" w:fill="FFFFFF"/>
          <w:lang w:val="uk-UA" w:eastAsia="ru-RU"/>
        </w:rPr>
      </w:pPr>
      <w:r w:rsidRPr="000D2205">
        <w:rPr>
          <w:rFonts w:ascii="Times New Roman" w:hAnsi="Times New Roman"/>
          <w:color w:val="222222"/>
          <w:sz w:val="28"/>
          <w:szCs w:val="28"/>
          <w:shd w:val="clear" w:color="auto" w:fill="FFFFFF"/>
          <w:lang w:val="uk-UA" w:eastAsia="ru-RU"/>
        </w:rPr>
        <w:t>6) Надходження від орендної плати за користування майновим комплексом та ін. майном що перебуває в комунальній власності.</w:t>
      </w:r>
    </w:p>
    <w:p w:rsidR="001F62C9" w:rsidRPr="000D2205" w:rsidRDefault="001F62C9" w:rsidP="000D2205">
      <w:pPr>
        <w:spacing w:after="0" w:line="360" w:lineRule="auto"/>
        <w:ind w:firstLine="709"/>
        <w:jc w:val="both"/>
        <w:rPr>
          <w:rFonts w:ascii="Times New Roman" w:hAnsi="Times New Roman"/>
          <w:color w:val="222222"/>
          <w:sz w:val="28"/>
          <w:szCs w:val="28"/>
          <w:shd w:val="clear" w:color="auto" w:fill="FFFFFF"/>
          <w:lang w:val="uk-UA" w:eastAsia="ru-RU"/>
        </w:rPr>
      </w:pPr>
      <w:r w:rsidRPr="000D2205">
        <w:rPr>
          <w:rFonts w:ascii="Times New Roman" w:hAnsi="Times New Roman"/>
          <w:color w:val="222222"/>
          <w:sz w:val="28"/>
          <w:szCs w:val="28"/>
          <w:shd w:val="clear" w:color="auto" w:fill="FFFFFF"/>
          <w:lang w:val="uk-UA" w:eastAsia="ru-RU"/>
        </w:rPr>
        <w:t>7) Рентні плати за користування надрами (в т.ч. для видобування корисних копалин), за спеціальне використання води та водних об’єктів, лісових ресурсів;</w:t>
      </w:r>
    </w:p>
    <w:p w:rsidR="001F62C9" w:rsidRPr="000D2205" w:rsidRDefault="001F62C9" w:rsidP="000D2205">
      <w:pPr>
        <w:spacing w:after="0" w:line="360" w:lineRule="auto"/>
        <w:ind w:firstLine="709"/>
        <w:jc w:val="both"/>
        <w:rPr>
          <w:rFonts w:ascii="Times New Roman" w:hAnsi="Times New Roman"/>
          <w:color w:val="222222"/>
          <w:sz w:val="28"/>
          <w:szCs w:val="28"/>
          <w:shd w:val="clear" w:color="auto" w:fill="FFFFFF"/>
          <w:lang w:val="uk-UA" w:eastAsia="ru-RU"/>
        </w:rPr>
      </w:pPr>
      <w:r w:rsidRPr="000D2205">
        <w:rPr>
          <w:rFonts w:ascii="Times New Roman" w:hAnsi="Times New Roman"/>
          <w:color w:val="222222"/>
          <w:sz w:val="28"/>
          <w:szCs w:val="28"/>
          <w:shd w:val="clear" w:color="auto" w:fill="FFFFFF"/>
          <w:lang w:val="uk-UA" w:eastAsia="ru-RU"/>
        </w:rPr>
        <w:t>8) Орендна плата за водні об’єкти, їх частини.</w:t>
      </w:r>
    </w:p>
    <w:p w:rsidR="001F62C9" w:rsidRPr="000D2205" w:rsidRDefault="001F62C9" w:rsidP="000D2205">
      <w:pPr>
        <w:spacing w:after="0" w:line="360" w:lineRule="auto"/>
        <w:ind w:firstLine="709"/>
        <w:jc w:val="both"/>
        <w:rPr>
          <w:rFonts w:ascii="Times New Roman" w:hAnsi="Times New Roman"/>
          <w:color w:val="222222"/>
          <w:sz w:val="28"/>
          <w:szCs w:val="28"/>
          <w:shd w:val="clear" w:color="auto" w:fill="FFFFFF"/>
          <w:lang w:val="uk-UA" w:eastAsia="ru-RU"/>
        </w:rPr>
      </w:pPr>
      <w:r w:rsidRPr="000D2205">
        <w:rPr>
          <w:rFonts w:ascii="Times New Roman" w:hAnsi="Times New Roman"/>
          <w:color w:val="222222"/>
          <w:sz w:val="28"/>
          <w:szCs w:val="28"/>
          <w:shd w:val="clear" w:color="auto" w:fill="FFFFFF"/>
          <w:lang w:val="uk-UA" w:eastAsia="ru-RU"/>
        </w:rPr>
        <w:t>9) Плата за розміщення тимчасово вільних коштів місцевих бюджетів (банківські депозити).</w:t>
      </w:r>
    </w:p>
    <w:p w:rsidR="001F62C9" w:rsidRPr="000D2205" w:rsidRDefault="001F62C9" w:rsidP="000D2205">
      <w:pPr>
        <w:spacing w:after="0" w:line="360" w:lineRule="auto"/>
        <w:ind w:firstLine="709"/>
        <w:jc w:val="both"/>
        <w:rPr>
          <w:rFonts w:ascii="Times New Roman" w:hAnsi="Times New Roman"/>
          <w:color w:val="222222"/>
          <w:sz w:val="28"/>
          <w:szCs w:val="28"/>
          <w:shd w:val="clear" w:color="auto" w:fill="FFFFFF"/>
          <w:lang w:val="uk-UA" w:eastAsia="ru-RU"/>
        </w:rPr>
      </w:pPr>
      <w:r w:rsidRPr="000D2205">
        <w:rPr>
          <w:rFonts w:ascii="Times New Roman" w:hAnsi="Times New Roman"/>
          <w:color w:val="222222"/>
          <w:sz w:val="28"/>
          <w:szCs w:val="28"/>
          <w:shd w:val="clear" w:color="auto" w:fill="FFFFFF"/>
          <w:lang w:val="uk-UA" w:eastAsia="ru-RU"/>
        </w:rPr>
        <w:t>10) концесійні платежі щодо об’єктів комунальної власності.</w:t>
      </w:r>
    </w:p>
    <w:p w:rsidR="001F62C9" w:rsidRPr="000D2205" w:rsidRDefault="001F62C9" w:rsidP="000D2205">
      <w:pPr>
        <w:spacing w:after="0" w:line="360" w:lineRule="auto"/>
        <w:ind w:firstLine="709"/>
        <w:jc w:val="both"/>
        <w:rPr>
          <w:rFonts w:ascii="Times New Roman" w:hAnsi="Times New Roman"/>
          <w:color w:val="222222"/>
          <w:sz w:val="28"/>
          <w:szCs w:val="28"/>
          <w:shd w:val="clear" w:color="auto" w:fill="FFFFFF"/>
          <w:lang w:val="uk-UA" w:eastAsia="ru-RU"/>
        </w:rPr>
      </w:pPr>
      <w:r w:rsidRPr="000D2205">
        <w:rPr>
          <w:rFonts w:ascii="Times New Roman" w:hAnsi="Times New Roman"/>
          <w:color w:val="222222"/>
          <w:sz w:val="28"/>
          <w:szCs w:val="28"/>
          <w:shd w:val="clear" w:color="auto" w:fill="FFFFFF"/>
          <w:lang w:val="uk-UA" w:eastAsia="ru-RU"/>
        </w:rPr>
        <w:t>11) 75% коштів відшкодування втрат сільськогосподарського і лісогосподарського виробництва.</w:t>
      </w:r>
    </w:p>
    <w:p w:rsidR="001F62C9" w:rsidRPr="000D2205" w:rsidRDefault="001F62C9" w:rsidP="000D2205">
      <w:pPr>
        <w:spacing w:after="0" w:line="360" w:lineRule="auto"/>
        <w:ind w:firstLine="709"/>
        <w:jc w:val="both"/>
        <w:rPr>
          <w:rFonts w:ascii="Times New Roman" w:hAnsi="Times New Roman"/>
          <w:color w:val="222222"/>
          <w:sz w:val="28"/>
          <w:szCs w:val="28"/>
          <w:shd w:val="clear" w:color="auto" w:fill="FFFFFF"/>
          <w:lang w:val="uk-UA" w:eastAsia="ru-RU"/>
        </w:rPr>
      </w:pPr>
      <w:r w:rsidRPr="000D2205">
        <w:rPr>
          <w:rFonts w:ascii="Times New Roman" w:hAnsi="Times New Roman"/>
          <w:color w:val="222222"/>
          <w:sz w:val="28"/>
          <w:szCs w:val="28"/>
          <w:shd w:val="clear" w:color="auto" w:fill="FFFFFF"/>
          <w:lang w:val="uk-UA" w:eastAsia="ru-RU"/>
        </w:rPr>
        <w:t>12) 50% грошових стягнень за шкоду, заподіяну порушенням законодавства про охорону навколишнього середовища внаслідок господарської та ін. Діяльності.</w:t>
      </w:r>
    </w:p>
    <w:p w:rsidR="001F62C9" w:rsidRPr="000D2205" w:rsidRDefault="001F62C9" w:rsidP="000D2205">
      <w:pPr>
        <w:spacing w:after="0" w:line="360" w:lineRule="auto"/>
        <w:ind w:firstLine="709"/>
        <w:jc w:val="both"/>
        <w:rPr>
          <w:rFonts w:ascii="Times New Roman" w:hAnsi="Times New Roman"/>
          <w:color w:val="222222"/>
          <w:sz w:val="28"/>
          <w:szCs w:val="28"/>
          <w:shd w:val="clear" w:color="auto" w:fill="FFFFFF"/>
          <w:lang w:val="uk-UA" w:eastAsia="ru-RU"/>
        </w:rPr>
      </w:pPr>
      <w:r w:rsidRPr="000D2205">
        <w:rPr>
          <w:rFonts w:ascii="Times New Roman" w:hAnsi="Times New Roman"/>
          <w:color w:val="222222"/>
          <w:sz w:val="28"/>
          <w:szCs w:val="28"/>
          <w:shd w:val="clear" w:color="auto" w:fill="FFFFFF"/>
          <w:lang w:val="uk-UA" w:eastAsia="ru-RU"/>
        </w:rPr>
        <w:t>13) 10% вартості питної води від суб’єктів підприємницької діяльності, які здійснюють реалізацію питної води через системи централізованого водопостачання з відхиленням від відповідних стандартів.</w:t>
      </w:r>
    </w:p>
    <w:p w:rsidR="001F62C9" w:rsidRPr="000D2205" w:rsidRDefault="001F62C9" w:rsidP="000D2205">
      <w:pPr>
        <w:spacing w:after="0" w:line="360" w:lineRule="auto"/>
        <w:ind w:firstLine="709"/>
        <w:jc w:val="both"/>
        <w:rPr>
          <w:rFonts w:ascii="Times New Roman" w:hAnsi="Times New Roman"/>
          <w:color w:val="222222"/>
          <w:sz w:val="28"/>
          <w:szCs w:val="28"/>
          <w:shd w:val="clear" w:color="auto" w:fill="FFFFFF"/>
          <w:lang w:val="uk-UA" w:eastAsia="ru-RU"/>
        </w:rPr>
      </w:pPr>
      <w:r w:rsidRPr="000D2205">
        <w:rPr>
          <w:rFonts w:ascii="Times New Roman" w:hAnsi="Times New Roman"/>
          <w:color w:val="222222"/>
          <w:sz w:val="28"/>
          <w:szCs w:val="28"/>
          <w:shd w:val="clear" w:color="auto" w:fill="FFFFFF"/>
          <w:lang w:val="uk-UA" w:eastAsia="ru-RU"/>
        </w:rPr>
        <w:t>14) 1,5% коштів від використання (реалізації) частини виробленої продукції, що залишається у власності держави відповідно до угод про розподіл продукції, та/або коштів на території громад, де знаходиться відповідна ділянка надр (газ, нафта).</w:t>
      </w:r>
    </w:p>
    <w:p w:rsidR="001F62C9" w:rsidRPr="000D2205" w:rsidRDefault="001F62C9" w:rsidP="000D2205">
      <w:pPr>
        <w:spacing w:after="0" w:line="360" w:lineRule="auto"/>
        <w:ind w:firstLine="709"/>
        <w:jc w:val="both"/>
        <w:rPr>
          <w:rFonts w:ascii="Times New Roman" w:hAnsi="Times New Roman"/>
          <w:color w:val="222222"/>
          <w:sz w:val="28"/>
          <w:szCs w:val="28"/>
          <w:shd w:val="clear" w:color="auto" w:fill="FFFFFF"/>
          <w:lang w:val="uk-UA" w:eastAsia="ru-RU"/>
        </w:rPr>
      </w:pPr>
      <w:r w:rsidRPr="000D2205">
        <w:rPr>
          <w:rFonts w:ascii="Times New Roman" w:hAnsi="Times New Roman"/>
          <w:color w:val="222222"/>
          <w:sz w:val="28"/>
          <w:szCs w:val="28"/>
          <w:shd w:val="clear" w:color="auto" w:fill="FFFFFF"/>
          <w:lang w:val="uk-UA" w:eastAsia="ru-RU"/>
        </w:rPr>
        <w:t>15) 55% коштів від продажу земельних ділянок несільськогосподарського призначення або прав на них, що перебувають у державній власності до розмежування земель державної і комунальної власності.</w:t>
      </w:r>
    </w:p>
    <w:p w:rsidR="001F62C9" w:rsidRPr="000D2205" w:rsidRDefault="001F62C9" w:rsidP="000D2205">
      <w:pPr>
        <w:spacing w:after="0" w:line="360" w:lineRule="auto"/>
        <w:ind w:firstLine="709"/>
        <w:jc w:val="both"/>
        <w:rPr>
          <w:rFonts w:ascii="Times New Roman" w:hAnsi="Times New Roman"/>
          <w:color w:val="222222"/>
          <w:sz w:val="28"/>
          <w:szCs w:val="28"/>
          <w:shd w:val="clear" w:color="auto" w:fill="FFFFFF"/>
          <w:lang w:val="uk-UA" w:eastAsia="ru-RU"/>
        </w:rPr>
      </w:pPr>
      <w:r w:rsidRPr="000D2205">
        <w:rPr>
          <w:rFonts w:ascii="Times New Roman" w:hAnsi="Times New Roman"/>
          <w:color w:val="222222"/>
          <w:sz w:val="28"/>
          <w:szCs w:val="28"/>
          <w:shd w:val="clear" w:color="auto" w:fill="FFFFFF"/>
          <w:lang w:val="uk-UA" w:eastAsia="ru-RU"/>
        </w:rPr>
        <w:t>16) Плата за надання місцевих гарантій.</w:t>
      </w:r>
    </w:p>
    <w:p w:rsidR="001F62C9" w:rsidRPr="000D2205" w:rsidRDefault="001F62C9" w:rsidP="000D2205">
      <w:pPr>
        <w:spacing w:after="0" w:line="360" w:lineRule="auto"/>
        <w:ind w:firstLine="709"/>
        <w:jc w:val="both"/>
        <w:rPr>
          <w:rFonts w:ascii="Times New Roman" w:hAnsi="Times New Roman"/>
          <w:color w:val="222222"/>
          <w:sz w:val="28"/>
          <w:szCs w:val="28"/>
          <w:shd w:val="clear" w:color="auto" w:fill="FFFFFF"/>
          <w:lang w:val="uk-UA" w:eastAsia="ru-RU"/>
        </w:rPr>
      </w:pPr>
      <w:r w:rsidRPr="000D2205">
        <w:rPr>
          <w:rFonts w:ascii="Times New Roman" w:hAnsi="Times New Roman"/>
          <w:color w:val="222222"/>
          <w:sz w:val="28"/>
          <w:szCs w:val="28"/>
          <w:shd w:val="clear" w:color="auto" w:fill="FFFFFF"/>
          <w:lang w:val="uk-UA" w:eastAsia="ru-RU"/>
        </w:rPr>
        <w:t>При формуванні бюджетів об’єднаних територіальних громад слід враховувати такі особливості:</w:t>
      </w:r>
    </w:p>
    <w:p w:rsidR="001F62C9" w:rsidRPr="000D2205" w:rsidRDefault="001F62C9" w:rsidP="000D2205">
      <w:pPr>
        <w:spacing w:after="0" w:line="360" w:lineRule="auto"/>
        <w:ind w:firstLine="709"/>
        <w:jc w:val="both"/>
        <w:rPr>
          <w:rFonts w:ascii="Times New Roman" w:hAnsi="Times New Roman"/>
          <w:color w:val="222222"/>
          <w:sz w:val="28"/>
          <w:szCs w:val="28"/>
          <w:shd w:val="clear" w:color="auto" w:fill="FFFFFF"/>
          <w:lang w:val="uk-UA" w:eastAsia="ru-RU"/>
        </w:rPr>
      </w:pPr>
      <w:r w:rsidRPr="000D2205">
        <w:rPr>
          <w:rFonts w:ascii="Times New Roman" w:hAnsi="Times New Roman"/>
          <w:color w:val="222222"/>
          <w:sz w:val="28"/>
          <w:szCs w:val="28"/>
          <w:shd w:val="clear" w:color="auto" w:fill="FFFFFF"/>
          <w:lang w:val="uk-UA" w:eastAsia="ru-RU"/>
        </w:rPr>
        <w:t>1) Доходи цих бюджетів визначаються відповідно до ст. 64 та 691 БКУ.</w:t>
      </w:r>
    </w:p>
    <w:p w:rsidR="001F62C9" w:rsidRPr="000D2205" w:rsidRDefault="001F62C9" w:rsidP="000D2205">
      <w:pPr>
        <w:spacing w:after="0" w:line="360" w:lineRule="auto"/>
        <w:ind w:firstLine="709"/>
        <w:jc w:val="both"/>
        <w:rPr>
          <w:rFonts w:ascii="Times New Roman" w:hAnsi="Times New Roman"/>
          <w:color w:val="222222"/>
          <w:sz w:val="28"/>
          <w:szCs w:val="28"/>
          <w:shd w:val="clear" w:color="auto" w:fill="FFFFFF"/>
          <w:lang w:val="uk-UA" w:eastAsia="ru-RU"/>
        </w:rPr>
      </w:pPr>
      <w:r w:rsidRPr="000D2205">
        <w:rPr>
          <w:rFonts w:ascii="Times New Roman" w:hAnsi="Times New Roman"/>
          <w:color w:val="222222"/>
          <w:sz w:val="28"/>
          <w:szCs w:val="28"/>
          <w:shd w:val="clear" w:color="auto" w:fill="FFFFFF"/>
          <w:lang w:val="uk-UA" w:eastAsia="ru-RU"/>
        </w:rPr>
        <w:t>2) Видатки та кредитування цих бюджетів визначаються відповідно до ст. 89 і 91 БКУ.</w:t>
      </w:r>
    </w:p>
    <w:p w:rsidR="001F62C9" w:rsidRPr="000D2205" w:rsidRDefault="001F62C9" w:rsidP="000D2205">
      <w:pPr>
        <w:spacing w:after="0" w:line="360" w:lineRule="auto"/>
        <w:ind w:firstLine="709"/>
        <w:jc w:val="both"/>
        <w:rPr>
          <w:rFonts w:ascii="Times New Roman" w:hAnsi="Times New Roman"/>
          <w:color w:val="222222"/>
          <w:sz w:val="28"/>
          <w:szCs w:val="28"/>
          <w:shd w:val="clear" w:color="auto" w:fill="FFFFFF"/>
          <w:lang w:val="uk-UA" w:eastAsia="ru-RU"/>
        </w:rPr>
      </w:pPr>
      <w:r w:rsidRPr="000D2205">
        <w:rPr>
          <w:rFonts w:ascii="Times New Roman" w:hAnsi="Times New Roman"/>
          <w:color w:val="222222"/>
          <w:sz w:val="28"/>
          <w:szCs w:val="28"/>
          <w:shd w:val="clear" w:color="auto" w:fill="FFFFFF"/>
          <w:lang w:val="uk-UA" w:eastAsia="ru-RU"/>
        </w:rPr>
        <w:t>3) Відносини між цими бюджетами та державним бюджетом визначаються відповідно до ст. 97, 99, 100, 102, 1032, 1034 і 108 БКУ.</w:t>
      </w:r>
    </w:p>
    <w:p w:rsidR="001F62C9" w:rsidRPr="000D2205" w:rsidRDefault="001F62C9" w:rsidP="000D2205">
      <w:pPr>
        <w:spacing w:after="0" w:line="360" w:lineRule="auto"/>
        <w:ind w:firstLine="709"/>
        <w:jc w:val="both"/>
        <w:rPr>
          <w:rFonts w:ascii="Times New Roman" w:hAnsi="Times New Roman"/>
          <w:color w:val="222222"/>
          <w:sz w:val="28"/>
          <w:szCs w:val="28"/>
          <w:shd w:val="clear" w:color="auto" w:fill="FFFFFF"/>
          <w:lang w:val="uk-UA" w:eastAsia="ru-RU"/>
        </w:rPr>
      </w:pPr>
      <w:r w:rsidRPr="000D2205">
        <w:rPr>
          <w:rFonts w:ascii="Times New Roman" w:hAnsi="Times New Roman"/>
          <w:color w:val="222222"/>
          <w:sz w:val="28"/>
          <w:szCs w:val="28"/>
          <w:shd w:val="clear" w:color="auto" w:fill="FFFFFF"/>
          <w:lang w:val="uk-UA" w:eastAsia="ru-RU"/>
        </w:rPr>
        <w:t>4) Місцеві запозичення здійснюються відповідно до ст. 16 і 74 БКУ</w:t>
      </w:r>
      <w:r w:rsidRPr="00BA60B7">
        <w:rPr>
          <w:rFonts w:ascii="Times New Roman" w:hAnsi="Times New Roman"/>
          <w:color w:val="222222"/>
          <w:sz w:val="28"/>
          <w:szCs w:val="28"/>
          <w:shd w:val="clear" w:color="auto" w:fill="FFFFFF"/>
          <w:lang w:eastAsia="ru-RU"/>
        </w:rPr>
        <w:t>[</w:t>
      </w:r>
      <w:r>
        <w:rPr>
          <w:rFonts w:ascii="Times New Roman" w:hAnsi="Times New Roman"/>
          <w:color w:val="222222"/>
          <w:sz w:val="28"/>
          <w:szCs w:val="28"/>
          <w:shd w:val="clear" w:color="auto" w:fill="FFFFFF"/>
          <w:lang w:eastAsia="ru-RU"/>
        </w:rPr>
        <w:t>2</w:t>
      </w:r>
      <w:r w:rsidRPr="00BA60B7">
        <w:rPr>
          <w:rFonts w:ascii="Times New Roman" w:hAnsi="Times New Roman"/>
          <w:color w:val="222222"/>
          <w:sz w:val="28"/>
          <w:szCs w:val="28"/>
          <w:shd w:val="clear" w:color="auto" w:fill="FFFFFF"/>
          <w:lang w:eastAsia="ru-RU"/>
        </w:rPr>
        <w:t>]</w:t>
      </w:r>
      <w:r w:rsidRPr="000D2205">
        <w:rPr>
          <w:rFonts w:ascii="Times New Roman" w:hAnsi="Times New Roman"/>
          <w:color w:val="222222"/>
          <w:sz w:val="28"/>
          <w:szCs w:val="28"/>
          <w:shd w:val="clear" w:color="auto" w:fill="FFFFFF"/>
          <w:lang w:val="uk-UA" w:eastAsia="ru-RU"/>
        </w:rPr>
        <w:t>.</w:t>
      </w:r>
    </w:p>
    <w:p w:rsidR="001F62C9" w:rsidRPr="000D2205" w:rsidRDefault="001F62C9" w:rsidP="000D2205">
      <w:pPr>
        <w:spacing w:after="0" w:line="360" w:lineRule="auto"/>
        <w:ind w:firstLine="709"/>
        <w:jc w:val="both"/>
        <w:rPr>
          <w:rFonts w:ascii="Times New Roman" w:hAnsi="Times New Roman"/>
          <w:color w:val="222222"/>
          <w:sz w:val="28"/>
          <w:szCs w:val="28"/>
          <w:shd w:val="clear" w:color="auto" w:fill="FFFFFF"/>
          <w:lang w:val="uk-UA" w:eastAsia="ru-RU"/>
        </w:rPr>
      </w:pPr>
      <w:r w:rsidRPr="000D2205">
        <w:rPr>
          <w:rFonts w:ascii="Times New Roman" w:hAnsi="Times New Roman"/>
          <w:color w:val="222222"/>
          <w:sz w:val="28"/>
          <w:szCs w:val="28"/>
          <w:shd w:val="clear" w:color="auto" w:fill="FFFFFF"/>
          <w:lang w:val="uk-UA" w:eastAsia="ru-RU"/>
        </w:rPr>
        <w:t>Органи місцевого самоврядування в селах, селищах, містах районного значення, що не об’єдналися, позбавляються права на виконання делегованих державою повноважень (державних повноважень немає, за ними залишається лише місцеве самоврядування, участі у фінансовому вирівнюванні вони не беруть). Тобто, закріплені доходи за ними – це податок на нерухомість, податок на землю, єдиний податок. Видатками для таких місцевих бюджетів будуть утримання апарату р</w:t>
      </w:r>
      <w:r>
        <w:rPr>
          <w:rFonts w:ascii="Times New Roman" w:hAnsi="Times New Roman"/>
          <w:color w:val="222222"/>
          <w:sz w:val="28"/>
          <w:szCs w:val="28"/>
          <w:shd w:val="clear" w:color="auto" w:fill="FFFFFF"/>
          <w:lang w:val="uk-UA" w:eastAsia="ru-RU"/>
        </w:rPr>
        <w:t>ади та благоустрій території [3, с. 340</w:t>
      </w:r>
      <w:r w:rsidRPr="000D2205">
        <w:rPr>
          <w:rFonts w:ascii="Times New Roman" w:hAnsi="Times New Roman"/>
          <w:color w:val="222222"/>
          <w:sz w:val="28"/>
          <w:szCs w:val="28"/>
          <w:shd w:val="clear" w:color="auto" w:fill="FFFFFF"/>
          <w:lang w:val="uk-UA" w:eastAsia="ru-RU"/>
        </w:rPr>
        <w:t>].</w:t>
      </w:r>
    </w:p>
    <w:p w:rsidR="001F62C9" w:rsidRPr="000D2205" w:rsidRDefault="001F62C9" w:rsidP="000D2205">
      <w:pPr>
        <w:spacing w:after="0" w:line="360" w:lineRule="auto"/>
        <w:ind w:firstLine="709"/>
        <w:jc w:val="both"/>
        <w:rPr>
          <w:rFonts w:ascii="Times New Roman" w:hAnsi="Times New Roman"/>
          <w:color w:val="222222"/>
          <w:sz w:val="28"/>
          <w:szCs w:val="28"/>
          <w:shd w:val="clear" w:color="auto" w:fill="FFFFFF"/>
          <w:lang w:val="uk-UA" w:eastAsia="ru-RU"/>
        </w:rPr>
      </w:pPr>
      <w:r w:rsidRPr="000D2205">
        <w:rPr>
          <w:rFonts w:ascii="Times New Roman" w:hAnsi="Times New Roman"/>
          <w:color w:val="222222"/>
          <w:sz w:val="28"/>
          <w:szCs w:val="28"/>
          <w:shd w:val="clear" w:color="auto" w:fill="FFFFFF"/>
          <w:lang w:val="uk-UA" w:eastAsia="ru-RU"/>
        </w:rPr>
        <w:t>В Україні запроваджена трирівнева система адміністративно-територіального устрою: регіон, район, громада із забезпеченням повсюдності міс</w:t>
      </w:r>
      <w:r>
        <w:rPr>
          <w:rFonts w:ascii="Times New Roman" w:hAnsi="Times New Roman"/>
          <w:color w:val="222222"/>
          <w:sz w:val="28"/>
          <w:szCs w:val="28"/>
          <w:shd w:val="clear" w:color="auto" w:fill="FFFFFF"/>
          <w:lang w:val="uk-UA" w:eastAsia="ru-RU"/>
        </w:rPr>
        <w:t>цевого самоврядування (табл. 1</w:t>
      </w:r>
      <w:r w:rsidRPr="000D2205">
        <w:rPr>
          <w:rFonts w:ascii="Times New Roman" w:hAnsi="Times New Roman"/>
          <w:color w:val="222222"/>
          <w:sz w:val="28"/>
          <w:szCs w:val="28"/>
          <w:shd w:val="clear" w:color="auto" w:fill="FFFFFF"/>
          <w:lang w:val="uk-UA" w:eastAsia="ru-RU"/>
        </w:rPr>
        <w:t>).</w:t>
      </w:r>
    </w:p>
    <w:p w:rsidR="001F62C9" w:rsidRPr="000D2205" w:rsidRDefault="001F62C9" w:rsidP="000D2205">
      <w:pPr>
        <w:spacing w:after="0" w:line="360" w:lineRule="auto"/>
        <w:ind w:firstLine="709"/>
        <w:jc w:val="both"/>
        <w:rPr>
          <w:rFonts w:ascii="Times New Roman" w:hAnsi="Times New Roman"/>
          <w:color w:val="222222"/>
          <w:sz w:val="28"/>
          <w:szCs w:val="28"/>
          <w:shd w:val="clear" w:color="auto" w:fill="FFFFFF"/>
          <w:lang w:val="uk-UA" w:eastAsia="ru-RU"/>
        </w:rPr>
      </w:pPr>
      <w:r w:rsidRPr="000D2205">
        <w:rPr>
          <w:rFonts w:ascii="Times New Roman" w:hAnsi="Times New Roman"/>
          <w:color w:val="222222"/>
          <w:sz w:val="28"/>
          <w:szCs w:val="28"/>
          <w:shd w:val="clear" w:color="auto" w:fill="FFFFFF"/>
          <w:lang w:val="uk-UA" w:eastAsia="ru-RU"/>
        </w:rPr>
        <w:t>Стимулювання громад до об’єднання відповідно до Бюджетного Кодексу України:</w:t>
      </w:r>
    </w:p>
    <w:p w:rsidR="001F62C9" w:rsidRPr="000D2205" w:rsidRDefault="001F62C9" w:rsidP="000D2205">
      <w:pPr>
        <w:spacing w:after="0" w:line="360" w:lineRule="auto"/>
        <w:ind w:firstLine="709"/>
        <w:jc w:val="both"/>
        <w:rPr>
          <w:rFonts w:ascii="Times New Roman" w:hAnsi="Times New Roman"/>
          <w:color w:val="222222"/>
          <w:sz w:val="28"/>
          <w:szCs w:val="28"/>
          <w:shd w:val="clear" w:color="auto" w:fill="FFFFFF"/>
          <w:lang w:val="uk-UA" w:eastAsia="ru-RU"/>
        </w:rPr>
      </w:pPr>
      <w:r w:rsidRPr="000D2205">
        <w:rPr>
          <w:rFonts w:ascii="Times New Roman" w:hAnsi="Times New Roman"/>
          <w:color w:val="222222"/>
          <w:sz w:val="28"/>
          <w:szCs w:val="28"/>
          <w:shd w:val="clear" w:color="auto" w:fill="FFFFFF"/>
          <w:lang w:val="uk-UA" w:eastAsia="ru-RU"/>
        </w:rPr>
        <w:t>- громади, об’єднані відповідно до критеріїв, визначених Законом про добровільне об’єднання територіальних громад, матимуть такі ж повноваження, як міста обласного значення;</w:t>
      </w:r>
    </w:p>
    <w:p w:rsidR="001F62C9" w:rsidRPr="000D2205" w:rsidRDefault="001F62C9" w:rsidP="000D2205">
      <w:pPr>
        <w:spacing w:after="0" w:line="360" w:lineRule="auto"/>
        <w:ind w:firstLine="709"/>
        <w:jc w:val="both"/>
        <w:rPr>
          <w:rFonts w:ascii="Times New Roman" w:hAnsi="Times New Roman"/>
          <w:color w:val="222222"/>
          <w:sz w:val="28"/>
          <w:szCs w:val="28"/>
          <w:shd w:val="clear" w:color="auto" w:fill="FFFFFF"/>
          <w:lang w:val="uk-UA" w:eastAsia="ru-RU"/>
        </w:rPr>
      </w:pPr>
      <w:r w:rsidRPr="000D2205">
        <w:rPr>
          <w:rFonts w:ascii="Times New Roman" w:hAnsi="Times New Roman"/>
          <w:color w:val="222222"/>
          <w:sz w:val="28"/>
          <w:szCs w:val="28"/>
          <w:shd w:val="clear" w:color="auto" w:fill="FFFFFF"/>
          <w:lang w:val="uk-UA" w:eastAsia="ru-RU"/>
        </w:rPr>
        <w:t>- територіальні громади, які об’єднаються до 15 жовтня року, що передує плановому, зможуть перейти на прямі міжбюджетні відносини з державним бюджетом, починаючи з планового бюджетного періоду;</w:t>
      </w:r>
    </w:p>
    <w:p w:rsidR="001F62C9" w:rsidRPr="000D2205" w:rsidRDefault="001F62C9" w:rsidP="000D2205">
      <w:pPr>
        <w:spacing w:after="0" w:line="360" w:lineRule="auto"/>
        <w:ind w:firstLine="709"/>
        <w:jc w:val="both"/>
        <w:rPr>
          <w:rFonts w:ascii="Times New Roman" w:hAnsi="Times New Roman"/>
          <w:color w:val="222222"/>
          <w:sz w:val="28"/>
          <w:szCs w:val="28"/>
          <w:shd w:val="clear" w:color="auto" w:fill="FFFFFF"/>
          <w:lang w:val="uk-UA" w:eastAsia="ru-RU"/>
        </w:rPr>
      </w:pPr>
      <w:r w:rsidRPr="000D2205">
        <w:rPr>
          <w:rFonts w:ascii="Times New Roman" w:hAnsi="Times New Roman"/>
          <w:color w:val="222222"/>
          <w:sz w:val="28"/>
          <w:szCs w:val="28"/>
          <w:shd w:val="clear" w:color="auto" w:fill="FFFFFF"/>
          <w:lang w:val="uk-UA" w:eastAsia="ru-RU"/>
        </w:rPr>
        <w:t>- органи місцевого самоврядування в селах, селищах, містах районного значення, що не об’єдналися, позбавляються права на виконання делегованих державою повноважень;</w:t>
      </w:r>
    </w:p>
    <w:p w:rsidR="001F62C9" w:rsidRPr="000D2205" w:rsidRDefault="001F62C9" w:rsidP="000D2205">
      <w:pPr>
        <w:spacing w:after="0" w:line="360" w:lineRule="auto"/>
        <w:ind w:firstLine="709"/>
        <w:jc w:val="both"/>
        <w:rPr>
          <w:rFonts w:ascii="Times New Roman" w:hAnsi="Times New Roman"/>
          <w:color w:val="222222"/>
          <w:sz w:val="28"/>
          <w:szCs w:val="28"/>
          <w:shd w:val="clear" w:color="auto" w:fill="FFFFFF"/>
          <w:lang w:val="uk-UA" w:eastAsia="ru-RU"/>
        </w:rPr>
      </w:pPr>
      <w:r w:rsidRPr="000D2205">
        <w:rPr>
          <w:rFonts w:ascii="Times New Roman" w:hAnsi="Times New Roman"/>
          <w:color w:val="222222"/>
          <w:sz w:val="28"/>
          <w:szCs w:val="28"/>
          <w:shd w:val="clear" w:color="auto" w:fill="FFFFFF"/>
          <w:lang w:val="uk-UA" w:eastAsia="ru-RU"/>
        </w:rPr>
        <w:t>- систематизовано видаткові повноваження та закріплено за кожною ланкою самоврядування відповідні функції та фінансові ресурси, необхідні для їх реалізації;</w:t>
      </w:r>
    </w:p>
    <w:p w:rsidR="001F62C9" w:rsidRDefault="001F62C9" w:rsidP="000D2205">
      <w:pPr>
        <w:spacing w:after="0" w:line="360" w:lineRule="auto"/>
        <w:ind w:firstLine="709"/>
        <w:jc w:val="both"/>
        <w:rPr>
          <w:rFonts w:ascii="Times New Roman" w:hAnsi="Times New Roman"/>
          <w:color w:val="222222"/>
          <w:sz w:val="28"/>
          <w:szCs w:val="28"/>
          <w:shd w:val="clear" w:color="auto" w:fill="FFFFFF"/>
          <w:lang w:val="uk-UA" w:eastAsia="ru-RU"/>
        </w:rPr>
      </w:pPr>
      <w:r w:rsidRPr="000D2205">
        <w:rPr>
          <w:rFonts w:ascii="Times New Roman" w:hAnsi="Times New Roman"/>
          <w:color w:val="222222"/>
          <w:sz w:val="28"/>
          <w:szCs w:val="28"/>
          <w:shd w:val="clear" w:color="auto" w:fill="FFFFFF"/>
          <w:lang w:val="uk-UA" w:eastAsia="ru-RU"/>
        </w:rPr>
        <w:t>- горизонтальне вирівнювання податкоспроможності бюджетів громад з одночасним стимулюванням</w:t>
      </w:r>
      <w:r>
        <w:rPr>
          <w:rFonts w:ascii="Times New Roman" w:hAnsi="Times New Roman"/>
          <w:color w:val="222222"/>
          <w:sz w:val="28"/>
          <w:szCs w:val="28"/>
          <w:shd w:val="clear" w:color="auto" w:fill="FFFFFF"/>
          <w:lang w:val="uk-UA" w:eastAsia="ru-RU"/>
        </w:rPr>
        <w:t xml:space="preserve"> до нарощування доходної бази [1</w:t>
      </w:r>
      <w:r w:rsidRPr="000D2205">
        <w:rPr>
          <w:rFonts w:ascii="Times New Roman" w:hAnsi="Times New Roman"/>
          <w:color w:val="222222"/>
          <w:sz w:val="28"/>
          <w:szCs w:val="28"/>
          <w:shd w:val="clear" w:color="auto" w:fill="FFFFFF"/>
          <w:lang w:val="uk-UA" w:eastAsia="ru-RU"/>
        </w:rPr>
        <w:t>, с. 243].</w:t>
      </w:r>
    </w:p>
    <w:p w:rsidR="001F62C9" w:rsidRPr="000D2205" w:rsidRDefault="001F62C9" w:rsidP="000D2205">
      <w:pPr>
        <w:spacing w:after="0" w:line="360" w:lineRule="auto"/>
        <w:ind w:firstLine="709"/>
        <w:jc w:val="right"/>
        <w:rPr>
          <w:rFonts w:ascii="Times New Roman" w:hAnsi="Times New Roman"/>
          <w:i/>
          <w:color w:val="222222"/>
          <w:sz w:val="28"/>
          <w:szCs w:val="28"/>
          <w:shd w:val="clear" w:color="auto" w:fill="FFFFFF"/>
          <w:lang w:val="uk-UA" w:eastAsia="ru-RU"/>
        </w:rPr>
      </w:pPr>
      <w:r>
        <w:rPr>
          <w:rFonts w:ascii="Times New Roman" w:hAnsi="Times New Roman"/>
          <w:i/>
          <w:color w:val="222222"/>
          <w:sz w:val="28"/>
          <w:szCs w:val="28"/>
          <w:shd w:val="clear" w:color="auto" w:fill="FFFFFF"/>
          <w:lang w:val="uk-UA" w:eastAsia="ru-RU"/>
        </w:rPr>
        <w:t>Таблиця 1</w:t>
      </w:r>
    </w:p>
    <w:p w:rsidR="001F62C9" w:rsidRPr="000D2205" w:rsidRDefault="001F62C9" w:rsidP="000D2205">
      <w:pPr>
        <w:spacing w:after="0" w:line="360" w:lineRule="auto"/>
        <w:ind w:firstLine="709"/>
        <w:jc w:val="center"/>
        <w:rPr>
          <w:rFonts w:ascii="Times New Roman" w:hAnsi="Times New Roman"/>
          <w:b/>
          <w:color w:val="222222"/>
          <w:sz w:val="28"/>
          <w:szCs w:val="28"/>
          <w:shd w:val="clear" w:color="auto" w:fill="FFFFFF"/>
          <w:lang w:val="uk-UA" w:eastAsia="ru-RU"/>
        </w:rPr>
      </w:pPr>
      <w:r w:rsidRPr="000D2205">
        <w:rPr>
          <w:rFonts w:ascii="Times New Roman" w:hAnsi="Times New Roman"/>
          <w:b/>
          <w:color w:val="222222"/>
          <w:sz w:val="28"/>
          <w:szCs w:val="28"/>
          <w:shd w:val="clear" w:color="auto" w:fill="FFFFFF"/>
          <w:lang w:val="uk-UA" w:eastAsia="ru-RU"/>
        </w:rPr>
        <w:t>Модель системи територіальних органів влади України до та після 2015 року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54"/>
        <w:gridCol w:w="3423"/>
        <w:gridCol w:w="3577"/>
      </w:tblGrid>
      <w:tr w:rsidR="001F62C9" w:rsidRPr="00247684" w:rsidTr="00247684">
        <w:tc>
          <w:tcPr>
            <w:tcW w:w="9628" w:type="dxa"/>
            <w:gridSpan w:val="3"/>
            <w:vAlign w:val="center"/>
          </w:tcPr>
          <w:p w:rsidR="001F62C9" w:rsidRPr="00247684" w:rsidRDefault="001F62C9" w:rsidP="00247684">
            <w:pPr>
              <w:spacing w:after="0" w:line="276" w:lineRule="auto"/>
              <w:jc w:val="center"/>
              <w:rPr>
                <w:rFonts w:ascii="Times New Roman" w:hAnsi="Times New Roman"/>
                <w:sz w:val="24"/>
                <w:szCs w:val="24"/>
                <w:lang w:val="uk-UA"/>
              </w:rPr>
            </w:pPr>
            <w:r w:rsidRPr="00247684">
              <w:rPr>
                <w:rFonts w:ascii="Times New Roman" w:hAnsi="Times New Roman"/>
                <w:sz w:val="24"/>
                <w:szCs w:val="24"/>
                <w:lang w:val="uk-UA"/>
              </w:rPr>
              <w:t>До 2015 року:</w:t>
            </w:r>
          </w:p>
        </w:tc>
      </w:tr>
      <w:tr w:rsidR="001F62C9" w:rsidRPr="00247684" w:rsidTr="00247684">
        <w:tc>
          <w:tcPr>
            <w:tcW w:w="3209" w:type="dxa"/>
            <w:vMerge w:val="restart"/>
            <w:vAlign w:val="center"/>
          </w:tcPr>
          <w:p w:rsidR="001F62C9" w:rsidRPr="00247684" w:rsidRDefault="001F62C9" w:rsidP="00247684">
            <w:pPr>
              <w:spacing w:after="0" w:line="276" w:lineRule="auto"/>
              <w:jc w:val="center"/>
              <w:rPr>
                <w:rFonts w:ascii="Times New Roman" w:hAnsi="Times New Roman"/>
                <w:sz w:val="24"/>
                <w:szCs w:val="24"/>
                <w:lang w:val="uk-UA"/>
              </w:rPr>
            </w:pPr>
            <w:r w:rsidRPr="00247684">
              <w:rPr>
                <w:rFonts w:ascii="Times New Roman" w:hAnsi="Times New Roman"/>
                <w:sz w:val="24"/>
                <w:szCs w:val="24"/>
                <w:lang w:val="uk-UA"/>
              </w:rPr>
              <w:t>Рівень регіону</w:t>
            </w:r>
          </w:p>
        </w:tc>
        <w:tc>
          <w:tcPr>
            <w:tcW w:w="3209" w:type="dxa"/>
            <w:vAlign w:val="center"/>
          </w:tcPr>
          <w:p w:rsidR="001F62C9" w:rsidRPr="00247684" w:rsidRDefault="001F62C9" w:rsidP="00247684">
            <w:pPr>
              <w:spacing w:after="0" w:line="276" w:lineRule="auto"/>
              <w:jc w:val="center"/>
              <w:rPr>
                <w:rFonts w:ascii="Times New Roman" w:hAnsi="Times New Roman"/>
                <w:sz w:val="24"/>
                <w:szCs w:val="24"/>
                <w:lang w:val="uk-UA"/>
              </w:rPr>
            </w:pPr>
            <w:r w:rsidRPr="00247684">
              <w:rPr>
                <w:rFonts w:ascii="Times New Roman" w:hAnsi="Times New Roman"/>
                <w:sz w:val="24"/>
                <w:szCs w:val="24"/>
                <w:lang w:val="uk-UA"/>
              </w:rPr>
              <w:t>Обласна державна адміністрація</w:t>
            </w:r>
          </w:p>
        </w:tc>
        <w:tc>
          <w:tcPr>
            <w:tcW w:w="3210" w:type="dxa"/>
            <w:vAlign w:val="center"/>
          </w:tcPr>
          <w:p w:rsidR="001F62C9" w:rsidRPr="00247684" w:rsidRDefault="001F62C9" w:rsidP="00247684">
            <w:pPr>
              <w:spacing w:after="0" w:line="276" w:lineRule="auto"/>
              <w:jc w:val="center"/>
              <w:rPr>
                <w:rFonts w:ascii="Times New Roman" w:hAnsi="Times New Roman"/>
                <w:sz w:val="24"/>
                <w:szCs w:val="24"/>
                <w:lang w:val="uk-UA"/>
              </w:rPr>
            </w:pPr>
            <w:r w:rsidRPr="00247684">
              <w:rPr>
                <w:rFonts w:ascii="Times New Roman" w:hAnsi="Times New Roman"/>
                <w:sz w:val="24"/>
                <w:szCs w:val="24"/>
                <w:lang w:val="uk-UA"/>
              </w:rPr>
              <w:t>Обласна рада</w:t>
            </w:r>
          </w:p>
        </w:tc>
      </w:tr>
      <w:tr w:rsidR="001F62C9" w:rsidRPr="00247684" w:rsidTr="00247684">
        <w:tc>
          <w:tcPr>
            <w:tcW w:w="3209" w:type="dxa"/>
            <w:vMerge/>
            <w:vAlign w:val="center"/>
          </w:tcPr>
          <w:p w:rsidR="001F62C9" w:rsidRPr="00247684" w:rsidRDefault="001F62C9" w:rsidP="00247684">
            <w:pPr>
              <w:spacing w:after="0" w:line="276" w:lineRule="auto"/>
              <w:jc w:val="both"/>
              <w:rPr>
                <w:rFonts w:ascii="Times New Roman" w:hAnsi="Times New Roman"/>
                <w:sz w:val="24"/>
                <w:szCs w:val="24"/>
              </w:rPr>
            </w:pPr>
          </w:p>
        </w:tc>
        <w:tc>
          <w:tcPr>
            <w:tcW w:w="6419" w:type="dxa"/>
            <w:gridSpan w:val="2"/>
            <w:vAlign w:val="center"/>
          </w:tcPr>
          <w:p w:rsidR="001F62C9" w:rsidRPr="00247684" w:rsidRDefault="001F62C9" w:rsidP="00247684">
            <w:pPr>
              <w:spacing w:after="0" w:line="276" w:lineRule="auto"/>
              <w:jc w:val="center"/>
              <w:rPr>
                <w:rFonts w:ascii="Times New Roman" w:hAnsi="Times New Roman"/>
                <w:sz w:val="24"/>
                <w:szCs w:val="24"/>
                <w:lang w:val="uk-UA"/>
              </w:rPr>
            </w:pPr>
            <w:r w:rsidRPr="00247684">
              <w:rPr>
                <w:rFonts w:ascii="Times New Roman" w:hAnsi="Times New Roman"/>
                <w:sz w:val="24"/>
                <w:szCs w:val="24"/>
                <w:lang w:val="uk-UA"/>
              </w:rPr>
              <w:t>Територіальні органи міністерств та інших центральних органів виконавчої влади</w:t>
            </w:r>
          </w:p>
        </w:tc>
      </w:tr>
      <w:tr w:rsidR="001F62C9" w:rsidRPr="00247684" w:rsidTr="00247684">
        <w:tc>
          <w:tcPr>
            <w:tcW w:w="3209" w:type="dxa"/>
            <w:vMerge w:val="restart"/>
            <w:vAlign w:val="center"/>
          </w:tcPr>
          <w:p w:rsidR="001F62C9" w:rsidRPr="00247684" w:rsidRDefault="001F62C9" w:rsidP="00247684">
            <w:pPr>
              <w:spacing w:after="0" w:line="276" w:lineRule="auto"/>
              <w:jc w:val="center"/>
              <w:rPr>
                <w:rFonts w:ascii="Times New Roman" w:hAnsi="Times New Roman"/>
                <w:sz w:val="24"/>
                <w:szCs w:val="24"/>
                <w:lang w:val="uk-UA"/>
              </w:rPr>
            </w:pPr>
            <w:r w:rsidRPr="00247684">
              <w:rPr>
                <w:rFonts w:ascii="Times New Roman" w:hAnsi="Times New Roman"/>
                <w:sz w:val="24"/>
                <w:szCs w:val="24"/>
                <w:lang w:val="uk-UA"/>
              </w:rPr>
              <w:t>Рівень району</w:t>
            </w:r>
          </w:p>
        </w:tc>
        <w:tc>
          <w:tcPr>
            <w:tcW w:w="3209" w:type="dxa"/>
            <w:vAlign w:val="center"/>
          </w:tcPr>
          <w:p w:rsidR="001F62C9" w:rsidRPr="00247684" w:rsidRDefault="001F62C9" w:rsidP="00247684">
            <w:pPr>
              <w:spacing w:after="0" w:line="276" w:lineRule="auto"/>
              <w:jc w:val="center"/>
              <w:rPr>
                <w:rFonts w:ascii="Times New Roman" w:hAnsi="Times New Roman"/>
                <w:sz w:val="24"/>
                <w:szCs w:val="24"/>
              </w:rPr>
            </w:pPr>
            <w:r w:rsidRPr="00247684">
              <w:rPr>
                <w:rFonts w:ascii="Times New Roman" w:hAnsi="Times New Roman"/>
                <w:sz w:val="24"/>
                <w:szCs w:val="24"/>
              </w:rPr>
              <w:t>Районнадержавнаадміністрація</w:t>
            </w:r>
          </w:p>
        </w:tc>
        <w:tc>
          <w:tcPr>
            <w:tcW w:w="3210" w:type="dxa"/>
            <w:vAlign w:val="center"/>
          </w:tcPr>
          <w:p w:rsidR="001F62C9" w:rsidRPr="00247684" w:rsidRDefault="001F62C9" w:rsidP="00247684">
            <w:pPr>
              <w:spacing w:after="0" w:line="276" w:lineRule="auto"/>
              <w:jc w:val="center"/>
              <w:rPr>
                <w:rFonts w:ascii="Times New Roman" w:hAnsi="Times New Roman"/>
                <w:sz w:val="24"/>
                <w:szCs w:val="24"/>
                <w:lang w:val="uk-UA"/>
              </w:rPr>
            </w:pPr>
            <w:r w:rsidRPr="00247684">
              <w:rPr>
                <w:rFonts w:ascii="Times New Roman" w:hAnsi="Times New Roman"/>
                <w:sz w:val="24"/>
                <w:szCs w:val="24"/>
                <w:lang w:val="uk-UA"/>
              </w:rPr>
              <w:t>Районна рада</w:t>
            </w:r>
          </w:p>
        </w:tc>
      </w:tr>
      <w:tr w:rsidR="001F62C9" w:rsidRPr="00247684" w:rsidTr="00247684">
        <w:tc>
          <w:tcPr>
            <w:tcW w:w="3209" w:type="dxa"/>
            <w:vMerge/>
            <w:vAlign w:val="center"/>
          </w:tcPr>
          <w:p w:rsidR="001F62C9" w:rsidRPr="00247684" w:rsidRDefault="001F62C9" w:rsidP="00247684">
            <w:pPr>
              <w:spacing w:after="0" w:line="276" w:lineRule="auto"/>
              <w:jc w:val="both"/>
              <w:rPr>
                <w:rFonts w:ascii="Times New Roman" w:hAnsi="Times New Roman"/>
                <w:sz w:val="24"/>
                <w:szCs w:val="24"/>
              </w:rPr>
            </w:pPr>
          </w:p>
        </w:tc>
        <w:tc>
          <w:tcPr>
            <w:tcW w:w="6419" w:type="dxa"/>
            <w:gridSpan w:val="2"/>
            <w:vAlign w:val="center"/>
          </w:tcPr>
          <w:p w:rsidR="001F62C9" w:rsidRPr="00247684" w:rsidRDefault="001F62C9" w:rsidP="00247684">
            <w:pPr>
              <w:spacing w:after="0" w:line="276" w:lineRule="auto"/>
              <w:jc w:val="center"/>
              <w:rPr>
                <w:rFonts w:ascii="Times New Roman" w:hAnsi="Times New Roman"/>
                <w:sz w:val="24"/>
                <w:szCs w:val="24"/>
              </w:rPr>
            </w:pPr>
            <w:r w:rsidRPr="00247684">
              <w:rPr>
                <w:rFonts w:ascii="Times New Roman" w:hAnsi="Times New Roman"/>
                <w:sz w:val="24"/>
                <w:szCs w:val="24"/>
                <w:lang w:val="uk-UA"/>
              </w:rPr>
              <w:t>Територіальні органи міністерств та інших центральних органів виконавчої влади</w:t>
            </w:r>
          </w:p>
        </w:tc>
      </w:tr>
      <w:tr w:rsidR="001F62C9" w:rsidRPr="00247684" w:rsidTr="00247684">
        <w:tc>
          <w:tcPr>
            <w:tcW w:w="3209" w:type="dxa"/>
            <w:vMerge w:val="restart"/>
            <w:vAlign w:val="center"/>
          </w:tcPr>
          <w:p w:rsidR="001F62C9" w:rsidRPr="00247684" w:rsidRDefault="001F62C9" w:rsidP="00247684">
            <w:pPr>
              <w:spacing w:after="0" w:line="276" w:lineRule="auto"/>
              <w:jc w:val="center"/>
              <w:rPr>
                <w:rFonts w:ascii="Times New Roman" w:hAnsi="Times New Roman"/>
                <w:sz w:val="24"/>
                <w:szCs w:val="24"/>
                <w:lang w:val="uk-UA"/>
              </w:rPr>
            </w:pPr>
            <w:r w:rsidRPr="00247684">
              <w:rPr>
                <w:rFonts w:ascii="Times New Roman" w:hAnsi="Times New Roman"/>
                <w:sz w:val="24"/>
                <w:szCs w:val="24"/>
                <w:lang w:val="uk-UA"/>
              </w:rPr>
              <w:t>Рівень територіальних громад</w:t>
            </w:r>
          </w:p>
        </w:tc>
        <w:tc>
          <w:tcPr>
            <w:tcW w:w="3209" w:type="dxa"/>
            <w:vAlign w:val="center"/>
          </w:tcPr>
          <w:p w:rsidR="001F62C9" w:rsidRPr="00247684" w:rsidRDefault="001F62C9" w:rsidP="00247684">
            <w:pPr>
              <w:spacing w:after="0" w:line="276" w:lineRule="auto"/>
              <w:jc w:val="center"/>
              <w:rPr>
                <w:rFonts w:ascii="Times New Roman" w:hAnsi="Times New Roman"/>
                <w:sz w:val="24"/>
                <w:szCs w:val="24"/>
                <w:lang w:val="uk-UA"/>
              </w:rPr>
            </w:pPr>
            <w:r w:rsidRPr="00247684">
              <w:rPr>
                <w:rFonts w:ascii="Times New Roman" w:hAnsi="Times New Roman"/>
                <w:sz w:val="24"/>
                <w:szCs w:val="24"/>
                <w:lang w:val="uk-UA"/>
              </w:rPr>
              <w:t>Міський, сільський, селищний голова</w:t>
            </w:r>
          </w:p>
        </w:tc>
        <w:tc>
          <w:tcPr>
            <w:tcW w:w="3210" w:type="dxa"/>
            <w:vAlign w:val="center"/>
          </w:tcPr>
          <w:p w:rsidR="001F62C9" w:rsidRPr="00247684" w:rsidRDefault="001F62C9" w:rsidP="00247684">
            <w:pPr>
              <w:spacing w:after="0" w:line="276" w:lineRule="auto"/>
              <w:jc w:val="center"/>
              <w:rPr>
                <w:rFonts w:ascii="Times New Roman" w:hAnsi="Times New Roman"/>
                <w:sz w:val="24"/>
                <w:szCs w:val="24"/>
                <w:lang w:val="uk-UA"/>
              </w:rPr>
            </w:pPr>
            <w:r w:rsidRPr="00247684">
              <w:rPr>
                <w:rFonts w:ascii="Times New Roman" w:hAnsi="Times New Roman"/>
                <w:sz w:val="24"/>
                <w:szCs w:val="24"/>
                <w:lang w:val="uk-UA"/>
              </w:rPr>
              <w:t>Міська, сільська, селищна рада</w:t>
            </w:r>
          </w:p>
        </w:tc>
      </w:tr>
      <w:tr w:rsidR="001F62C9" w:rsidRPr="00247684" w:rsidTr="00247684">
        <w:tc>
          <w:tcPr>
            <w:tcW w:w="3209" w:type="dxa"/>
            <w:vMerge/>
            <w:vAlign w:val="center"/>
          </w:tcPr>
          <w:p w:rsidR="001F62C9" w:rsidRPr="00247684" w:rsidRDefault="001F62C9" w:rsidP="00247684">
            <w:pPr>
              <w:spacing w:after="0" w:line="276" w:lineRule="auto"/>
              <w:jc w:val="both"/>
              <w:rPr>
                <w:rFonts w:ascii="Times New Roman" w:hAnsi="Times New Roman"/>
                <w:sz w:val="24"/>
                <w:szCs w:val="24"/>
              </w:rPr>
            </w:pPr>
          </w:p>
        </w:tc>
        <w:tc>
          <w:tcPr>
            <w:tcW w:w="6419" w:type="dxa"/>
            <w:gridSpan w:val="2"/>
            <w:vAlign w:val="center"/>
          </w:tcPr>
          <w:p w:rsidR="001F62C9" w:rsidRPr="00247684" w:rsidRDefault="001F62C9" w:rsidP="00247684">
            <w:pPr>
              <w:spacing w:after="0" w:line="276" w:lineRule="auto"/>
              <w:jc w:val="center"/>
              <w:rPr>
                <w:rFonts w:ascii="Times New Roman" w:hAnsi="Times New Roman"/>
                <w:sz w:val="24"/>
                <w:szCs w:val="24"/>
                <w:lang w:val="uk-UA"/>
              </w:rPr>
            </w:pPr>
            <w:r w:rsidRPr="00247684">
              <w:rPr>
                <w:rFonts w:ascii="Times New Roman" w:hAnsi="Times New Roman"/>
                <w:sz w:val="24"/>
                <w:szCs w:val="24"/>
                <w:lang w:val="uk-UA"/>
              </w:rPr>
              <w:t>Виконавчі органи рад</w:t>
            </w:r>
          </w:p>
        </w:tc>
      </w:tr>
      <w:tr w:rsidR="001F62C9" w:rsidRPr="00247684" w:rsidTr="00247684">
        <w:tc>
          <w:tcPr>
            <w:tcW w:w="9628" w:type="dxa"/>
            <w:gridSpan w:val="3"/>
            <w:vAlign w:val="center"/>
          </w:tcPr>
          <w:p w:rsidR="001F62C9" w:rsidRPr="00247684" w:rsidRDefault="001F62C9" w:rsidP="00247684">
            <w:pPr>
              <w:spacing w:after="0" w:line="276" w:lineRule="auto"/>
              <w:jc w:val="center"/>
              <w:rPr>
                <w:rFonts w:ascii="Times New Roman" w:hAnsi="Times New Roman"/>
                <w:sz w:val="24"/>
                <w:szCs w:val="24"/>
                <w:lang w:val="uk-UA"/>
              </w:rPr>
            </w:pPr>
            <w:r w:rsidRPr="00247684">
              <w:rPr>
                <w:rFonts w:ascii="Times New Roman" w:hAnsi="Times New Roman"/>
                <w:sz w:val="24"/>
                <w:szCs w:val="24"/>
                <w:lang w:val="uk-UA"/>
              </w:rPr>
              <w:t>З 2015 року:</w:t>
            </w:r>
          </w:p>
        </w:tc>
      </w:tr>
      <w:tr w:rsidR="001F62C9" w:rsidRPr="00247684" w:rsidTr="00247684">
        <w:tc>
          <w:tcPr>
            <w:tcW w:w="3209" w:type="dxa"/>
            <w:vMerge w:val="restart"/>
            <w:vAlign w:val="center"/>
          </w:tcPr>
          <w:p w:rsidR="001F62C9" w:rsidRPr="00247684" w:rsidRDefault="001F62C9" w:rsidP="00247684">
            <w:pPr>
              <w:spacing w:after="0" w:line="276" w:lineRule="auto"/>
              <w:jc w:val="center"/>
              <w:rPr>
                <w:rFonts w:ascii="Times New Roman" w:hAnsi="Times New Roman"/>
                <w:sz w:val="24"/>
                <w:szCs w:val="24"/>
              </w:rPr>
            </w:pPr>
            <w:r w:rsidRPr="00247684">
              <w:rPr>
                <w:rFonts w:ascii="Times New Roman" w:hAnsi="Times New Roman"/>
                <w:sz w:val="24"/>
                <w:szCs w:val="24"/>
              </w:rPr>
              <w:t>Рівень регіону</w:t>
            </w:r>
          </w:p>
        </w:tc>
        <w:tc>
          <w:tcPr>
            <w:tcW w:w="3209" w:type="dxa"/>
            <w:vAlign w:val="center"/>
          </w:tcPr>
          <w:p w:rsidR="001F62C9" w:rsidRPr="00247684" w:rsidRDefault="001F62C9" w:rsidP="00247684">
            <w:pPr>
              <w:spacing w:after="0" w:line="276" w:lineRule="auto"/>
              <w:jc w:val="center"/>
              <w:rPr>
                <w:rFonts w:ascii="Times New Roman" w:hAnsi="Times New Roman"/>
                <w:sz w:val="24"/>
                <w:szCs w:val="24"/>
                <w:lang w:val="uk-UA"/>
              </w:rPr>
            </w:pPr>
            <w:r w:rsidRPr="00247684">
              <w:rPr>
                <w:rFonts w:ascii="Times New Roman" w:hAnsi="Times New Roman"/>
                <w:sz w:val="24"/>
                <w:szCs w:val="24"/>
                <w:lang w:val="uk-UA"/>
              </w:rPr>
              <w:t>Представник Президента в області</w:t>
            </w:r>
          </w:p>
        </w:tc>
        <w:tc>
          <w:tcPr>
            <w:tcW w:w="3210" w:type="dxa"/>
            <w:vAlign w:val="center"/>
          </w:tcPr>
          <w:p w:rsidR="001F62C9" w:rsidRPr="00247684" w:rsidRDefault="001F62C9" w:rsidP="00247684">
            <w:pPr>
              <w:spacing w:after="0" w:line="276" w:lineRule="auto"/>
              <w:jc w:val="center"/>
              <w:rPr>
                <w:rFonts w:ascii="Times New Roman" w:hAnsi="Times New Roman"/>
                <w:sz w:val="24"/>
                <w:szCs w:val="24"/>
                <w:lang w:val="uk-UA"/>
              </w:rPr>
            </w:pPr>
            <w:r w:rsidRPr="00247684">
              <w:rPr>
                <w:rFonts w:ascii="Times New Roman" w:hAnsi="Times New Roman"/>
                <w:sz w:val="24"/>
                <w:szCs w:val="24"/>
                <w:lang w:val="uk-UA"/>
              </w:rPr>
              <w:t>Обласна рада</w:t>
            </w:r>
          </w:p>
        </w:tc>
      </w:tr>
      <w:tr w:rsidR="001F62C9" w:rsidRPr="00247684" w:rsidTr="00247684">
        <w:tc>
          <w:tcPr>
            <w:tcW w:w="3209" w:type="dxa"/>
            <w:vMerge/>
            <w:vAlign w:val="center"/>
          </w:tcPr>
          <w:p w:rsidR="001F62C9" w:rsidRPr="00247684" w:rsidRDefault="001F62C9" w:rsidP="00247684">
            <w:pPr>
              <w:spacing w:after="0" w:line="276" w:lineRule="auto"/>
              <w:jc w:val="both"/>
              <w:rPr>
                <w:rFonts w:ascii="Times New Roman" w:hAnsi="Times New Roman"/>
                <w:sz w:val="24"/>
                <w:szCs w:val="24"/>
              </w:rPr>
            </w:pPr>
          </w:p>
        </w:tc>
        <w:tc>
          <w:tcPr>
            <w:tcW w:w="3209" w:type="dxa"/>
            <w:vAlign w:val="center"/>
          </w:tcPr>
          <w:p w:rsidR="001F62C9" w:rsidRPr="00247684" w:rsidRDefault="001F62C9" w:rsidP="00247684">
            <w:pPr>
              <w:spacing w:after="0" w:line="276" w:lineRule="auto"/>
              <w:jc w:val="center"/>
              <w:rPr>
                <w:rFonts w:ascii="Times New Roman" w:hAnsi="Times New Roman"/>
                <w:sz w:val="24"/>
                <w:szCs w:val="24"/>
                <w:lang w:val="uk-UA"/>
              </w:rPr>
            </w:pPr>
            <w:r w:rsidRPr="00247684">
              <w:rPr>
                <w:rFonts w:ascii="Times New Roman" w:hAnsi="Times New Roman"/>
                <w:sz w:val="24"/>
                <w:szCs w:val="24"/>
                <w:lang w:val="uk-UA"/>
              </w:rPr>
              <w:t>Територіальні органи центральних органів виконавчої влади</w:t>
            </w:r>
          </w:p>
        </w:tc>
        <w:tc>
          <w:tcPr>
            <w:tcW w:w="3210" w:type="dxa"/>
            <w:vAlign w:val="center"/>
          </w:tcPr>
          <w:p w:rsidR="001F62C9" w:rsidRPr="00247684" w:rsidRDefault="001F62C9" w:rsidP="00247684">
            <w:pPr>
              <w:spacing w:after="0" w:line="276" w:lineRule="auto"/>
              <w:jc w:val="center"/>
              <w:rPr>
                <w:rFonts w:ascii="Times New Roman" w:hAnsi="Times New Roman"/>
                <w:sz w:val="24"/>
                <w:szCs w:val="24"/>
                <w:lang w:val="uk-UA"/>
              </w:rPr>
            </w:pPr>
            <w:r w:rsidRPr="00247684">
              <w:rPr>
                <w:rFonts w:ascii="Times New Roman" w:hAnsi="Times New Roman"/>
                <w:sz w:val="24"/>
                <w:szCs w:val="24"/>
                <w:lang w:val="uk-UA"/>
              </w:rPr>
              <w:t>Виконавчий комітет обласної ради</w:t>
            </w:r>
          </w:p>
        </w:tc>
      </w:tr>
      <w:tr w:rsidR="001F62C9" w:rsidRPr="00247684" w:rsidTr="00247684">
        <w:tc>
          <w:tcPr>
            <w:tcW w:w="3209" w:type="dxa"/>
            <w:vMerge w:val="restart"/>
            <w:vAlign w:val="center"/>
          </w:tcPr>
          <w:p w:rsidR="001F62C9" w:rsidRPr="00247684" w:rsidRDefault="001F62C9" w:rsidP="00247684">
            <w:pPr>
              <w:spacing w:after="0" w:line="276" w:lineRule="auto"/>
              <w:jc w:val="center"/>
              <w:rPr>
                <w:rFonts w:ascii="Times New Roman" w:hAnsi="Times New Roman"/>
                <w:sz w:val="24"/>
                <w:szCs w:val="24"/>
                <w:lang w:val="uk-UA"/>
              </w:rPr>
            </w:pPr>
            <w:r w:rsidRPr="00247684">
              <w:rPr>
                <w:rFonts w:ascii="Times New Roman" w:hAnsi="Times New Roman"/>
                <w:sz w:val="24"/>
                <w:szCs w:val="24"/>
                <w:lang w:val="uk-UA"/>
              </w:rPr>
              <w:t>Рівень району</w:t>
            </w:r>
          </w:p>
        </w:tc>
        <w:tc>
          <w:tcPr>
            <w:tcW w:w="3209" w:type="dxa"/>
            <w:vAlign w:val="center"/>
          </w:tcPr>
          <w:p w:rsidR="001F62C9" w:rsidRPr="00247684" w:rsidRDefault="001F62C9" w:rsidP="00247684">
            <w:pPr>
              <w:spacing w:after="0" w:line="276" w:lineRule="auto"/>
              <w:jc w:val="center"/>
              <w:rPr>
                <w:rFonts w:ascii="Times New Roman" w:hAnsi="Times New Roman"/>
                <w:sz w:val="24"/>
                <w:szCs w:val="24"/>
                <w:lang w:val="uk-UA"/>
              </w:rPr>
            </w:pPr>
            <w:r w:rsidRPr="00247684">
              <w:rPr>
                <w:rFonts w:ascii="Times New Roman" w:hAnsi="Times New Roman"/>
                <w:sz w:val="24"/>
                <w:szCs w:val="24"/>
                <w:lang w:val="uk-UA"/>
              </w:rPr>
              <w:t>Представник Президента в районі</w:t>
            </w:r>
          </w:p>
        </w:tc>
        <w:tc>
          <w:tcPr>
            <w:tcW w:w="3210" w:type="dxa"/>
            <w:vAlign w:val="center"/>
          </w:tcPr>
          <w:p w:rsidR="001F62C9" w:rsidRPr="00247684" w:rsidRDefault="001F62C9" w:rsidP="00247684">
            <w:pPr>
              <w:spacing w:after="0" w:line="276" w:lineRule="auto"/>
              <w:jc w:val="center"/>
              <w:rPr>
                <w:rFonts w:ascii="Times New Roman" w:hAnsi="Times New Roman"/>
                <w:sz w:val="24"/>
                <w:szCs w:val="24"/>
                <w:lang w:val="uk-UA"/>
              </w:rPr>
            </w:pPr>
            <w:r w:rsidRPr="00247684">
              <w:rPr>
                <w:rFonts w:ascii="Times New Roman" w:hAnsi="Times New Roman"/>
                <w:sz w:val="24"/>
                <w:szCs w:val="24"/>
                <w:lang w:val="uk-UA"/>
              </w:rPr>
              <w:t>Районна рада</w:t>
            </w:r>
          </w:p>
        </w:tc>
      </w:tr>
      <w:tr w:rsidR="001F62C9" w:rsidRPr="00247684" w:rsidTr="00247684">
        <w:tc>
          <w:tcPr>
            <w:tcW w:w="3209" w:type="dxa"/>
            <w:vMerge/>
            <w:vAlign w:val="center"/>
          </w:tcPr>
          <w:p w:rsidR="001F62C9" w:rsidRPr="00247684" w:rsidRDefault="001F62C9" w:rsidP="00247684">
            <w:pPr>
              <w:spacing w:after="0" w:line="276" w:lineRule="auto"/>
              <w:jc w:val="both"/>
              <w:rPr>
                <w:rFonts w:ascii="Times New Roman" w:hAnsi="Times New Roman"/>
                <w:sz w:val="24"/>
                <w:szCs w:val="24"/>
              </w:rPr>
            </w:pPr>
          </w:p>
        </w:tc>
        <w:tc>
          <w:tcPr>
            <w:tcW w:w="3209" w:type="dxa"/>
            <w:vAlign w:val="center"/>
          </w:tcPr>
          <w:p w:rsidR="001F62C9" w:rsidRPr="00247684" w:rsidRDefault="001F62C9" w:rsidP="00247684">
            <w:pPr>
              <w:spacing w:after="0" w:line="276" w:lineRule="auto"/>
              <w:jc w:val="center"/>
              <w:rPr>
                <w:rFonts w:ascii="Times New Roman" w:hAnsi="Times New Roman"/>
                <w:sz w:val="24"/>
                <w:szCs w:val="24"/>
                <w:lang w:val="uk-UA"/>
              </w:rPr>
            </w:pPr>
            <w:r w:rsidRPr="00247684">
              <w:rPr>
                <w:rFonts w:ascii="Times New Roman" w:hAnsi="Times New Roman"/>
                <w:sz w:val="24"/>
                <w:szCs w:val="24"/>
                <w:lang w:val="uk-UA"/>
              </w:rPr>
              <w:t>Територіальні органи центральних органів виконавчої влади</w:t>
            </w:r>
          </w:p>
        </w:tc>
        <w:tc>
          <w:tcPr>
            <w:tcW w:w="3210" w:type="dxa"/>
            <w:vAlign w:val="center"/>
          </w:tcPr>
          <w:p w:rsidR="001F62C9" w:rsidRPr="00247684" w:rsidRDefault="001F62C9" w:rsidP="00247684">
            <w:pPr>
              <w:spacing w:after="0" w:line="276" w:lineRule="auto"/>
              <w:jc w:val="center"/>
              <w:rPr>
                <w:rFonts w:ascii="Times New Roman" w:hAnsi="Times New Roman"/>
                <w:sz w:val="24"/>
                <w:szCs w:val="24"/>
                <w:lang w:val="uk-UA"/>
              </w:rPr>
            </w:pPr>
            <w:r w:rsidRPr="00247684">
              <w:rPr>
                <w:rFonts w:ascii="Times New Roman" w:hAnsi="Times New Roman"/>
                <w:sz w:val="24"/>
                <w:szCs w:val="24"/>
                <w:lang w:val="uk-UA"/>
              </w:rPr>
              <w:t>Виконавчий комітет районної ради</w:t>
            </w:r>
          </w:p>
        </w:tc>
      </w:tr>
      <w:tr w:rsidR="001F62C9" w:rsidRPr="00247684" w:rsidTr="00247684">
        <w:tc>
          <w:tcPr>
            <w:tcW w:w="3209" w:type="dxa"/>
            <w:vMerge w:val="restart"/>
            <w:vAlign w:val="center"/>
          </w:tcPr>
          <w:p w:rsidR="001F62C9" w:rsidRPr="00247684" w:rsidRDefault="001F62C9" w:rsidP="00247684">
            <w:pPr>
              <w:spacing w:after="0" w:line="276" w:lineRule="auto"/>
              <w:jc w:val="center"/>
              <w:rPr>
                <w:rFonts w:ascii="Times New Roman" w:hAnsi="Times New Roman"/>
                <w:sz w:val="24"/>
                <w:szCs w:val="24"/>
                <w:lang w:val="uk-UA"/>
              </w:rPr>
            </w:pPr>
            <w:r w:rsidRPr="00247684">
              <w:rPr>
                <w:rFonts w:ascii="Times New Roman" w:hAnsi="Times New Roman"/>
                <w:sz w:val="24"/>
                <w:szCs w:val="24"/>
                <w:lang w:val="uk-UA"/>
              </w:rPr>
              <w:t>Рівень громади</w:t>
            </w:r>
          </w:p>
        </w:tc>
        <w:tc>
          <w:tcPr>
            <w:tcW w:w="6419" w:type="dxa"/>
            <w:gridSpan w:val="2"/>
            <w:vAlign w:val="center"/>
          </w:tcPr>
          <w:p w:rsidR="001F62C9" w:rsidRPr="00247684" w:rsidRDefault="001F62C9" w:rsidP="00247684">
            <w:pPr>
              <w:spacing w:after="0" w:line="276" w:lineRule="auto"/>
              <w:jc w:val="center"/>
              <w:rPr>
                <w:rFonts w:ascii="Times New Roman" w:hAnsi="Times New Roman"/>
                <w:sz w:val="24"/>
                <w:szCs w:val="24"/>
                <w:lang w:val="uk-UA"/>
              </w:rPr>
            </w:pPr>
            <w:r w:rsidRPr="00247684">
              <w:rPr>
                <w:rFonts w:ascii="Times New Roman" w:hAnsi="Times New Roman"/>
                <w:sz w:val="24"/>
                <w:szCs w:val="24"/>
                <w:lang w:val="uk-UA"/>
              </w:rPr>
              <w:t>Голова громади</w:t>
            </w:r>
          </w:p>
        </w:tc>
      </w:tr>
      <w:tr w:rsidR="001F62C9" w:rsidRPr="00247684" w:rsidTr="00247684">
        <w:tc>
          <w:tcPr>
            <w:tcW w:w="3209" w:type="dxa"/>
            <w:vMerge/>
            <w:vAlign w:val="center"/>
          </w:tcPr>
          <w:p w:rsidR="001F62C9" w:rsidRPr="00247684" w:rsidRDefault="001F62C9" w:rsidP="00247684">
            <w:pPr>
              <w:spacing w:after="0" w:line="276" w:lineRule="auto"/>
              <w:jc w:val="both"/>
              <w:rPr>
                <w:rFonts w:ascii="Times New Roman" w:hAnsi="Times New Roman"/>
                <w:sz w:val="24"/>
                <w:szCs w:val="24"/>
              </w:rPr>
            </w:pPr>
          </w:p>
        </w:tc>
        <w:tc>
          <w:tcPr>
            <w:tcW w:w="3209" w:type="dxa"/>
            <w:vAlign w:val="center"/>
          </w:tcPr>
          <w:p w:rsidR="001F62C9" w:rsidRPr="00247684" w:rsidRDefault="001F62C9" w:rsidP="00247684">
            <w:pPr>
              <w:spacing w:after="0" w:line="276" w:lineRule="auto"/>
              <w:jc w:val="center"/>
              <w:rPr>
                <w:rFonts w:ascii="Times New Roman" w:hAnsi="Times New Roman"/>
                <w:sz w:val="24"/>
                <w:szCs w:val="24"/>
                <w:lang w:val="uk-UA"/>
              </w:rPr>
            </w:pPr>
            <w:r w:rsidRPr="00247684">
              <w:rPr>
                <w:rFonts w:ascii="Times New Roman" w:hAnsi="Times New Roman"/>
                <w:sz w:val="24"/>
                <w:szCs w:val="24"/>
                <w:lang w:val="uk-UA"/>
              </w:rPr>
              <w:t>Рада громади</w:t>
            </w:r>
          </w:p>
        </w:tc>
        <w:tc>
          <w:tcPr>
            <w:tcW w:w="3210" w:type="dxa"/>
            <w:vAlign w:val="center"/>
          </w:tcPr>
          <w:p w:rsidR="001F62C9" w:rsidRPr="00247684" w:rsidRDefault="001F62C9" w:rsidP="00247684">
            <w:pPr>
              <w:spacing w:after="0" w:line="276" w:lineRule="auto"/>
              <w:jc w:val="center"/>
              <w:rPr>
                <w:rFonts w:ascii="Times New Roman" w:hAnsi="Times New Roman"/>
                <w:sz w:val="24"/>
                <w:szCs w:val="24"/>
              </w:rPr>
            </w:pPr>
            <w:r w:rsidRPr="00247684">
              <w:rPr>
                <w:rFonts w:ascii="Times New Roman" w:hAnsi="Times New Roman"/>
                <w:sz w:val="24"/>
                <w:szCs w:val="24"/>
              </w:rPr>
              <w:t>ВиконавчийкомітетРадигромади</w:t>
            </w:r>
          </w:p>
        </w:tc>
      </w:tr>
      <w:tr w:rsidR="001F62C9" w:rsidRPr="00247684" w:rsidTr="00247684">
        <w:tc>
          <w:tcPr>
            <w:tcW w:w="3209" w:type="dxa"/>
            <w:vMerge/>
            <w:vAlign w:val="center"/>
          </w:tcPr>
          <w:p w:rsidR="001F62C9" w:rsidRPr="00247684" w:rsidRDefault="001F62C9" w:rsidP="00247684">
            <w:pPr>
              <w:spacing w:after="0" w:line="276" w:lineRule="auto"/>
              <w:jc w:val="both"/>
              <w:rPr>
                <w:rFonts w:ascii="Times New Roman" w:hAnsi="Times New Roman"/>
                <w:sz w:val="24"/>
                <w:szCs w:val="24"/>
              </w:rPr>
            </w:pPr>
          </w:p>
        </w:tc>
        <w:tc>
          <w:tcPr>
            <w:tcW w:w="6419" w:type="dxa"/>
            <w:gridSpan w:val="2"/>
            <w:vAlign w:val="center"/>
          </w:tcPr>
          <w:p w:rsidR="001F62C9" w:rsidRPr="00247684" w:rsidRDefault="001F62C9" w:rsidP="00247684">
            <w:pPr>
              <w:spacing w:after="0" w:line="276" w:lineRule="auto"/>
              <w:jc w:val="center"/>
              <w:rPr>
                <w:rFonts w:ascii="Times New Roman" w:hAnsi="Times New Roman"/>
                <w:sz w:val="24"/>
                <w:szCs w:val="24"/>
                <w:lang w:val="uk-UA"/>
              </w:rPr>
            </w:pPr>
            <w:r w:rsidRPr="00247684">
              <w:rPr>
                <w:rFonts w:ascii="Times New Roman" w:hAnsi="Times New Roman"/>
                <w:sz w:val="24"/>
                <w:szCs w:val="24"/>
                <w:lang w:val="uk-UA"/>
              </w:rPr>
              <w:t>Староста</w:t>
            </w:r>
          </w:p>
        </w:tc>
      </w:tr>
    </w:tbl>
    <w:p w:rsidR="001F62C9" w:rsidRDefault="001F62C9" w:rsidP="000D2205">
      <w:pPr>
        <w:spacing w:before="240" w:after="0" w:line="360" w:lineRule="auto"/>
        <w:ind w:firstLine="709"/>
        <w:jc w:val="both"/>
        <w:rPr>
          <w:rFonts w:ascii="Times New Roman" w:hAnsi="Times New Roman"/>
          <w:sz w:val="28"/>
          <w:szCs w:val="28"/>
          <w:lang w:val="uk-UA"/>
        </w:rPr>
      </w:pPr>
      <w:r w:rsidRPr="00637BFE">
        <w:rPr>
          <w:rFonts w:ascii="Times New Roman" w:hAnsi="Times New Roman"/>
          <w:sz w:val="28"/>
          <w:szCs w:val="28"/>
          <w:lang w:val="uk-UA"/>
        </w:rPr>
        <w:t>Основою фінансового забезпечення міс</w:t>
      </w:r>
      <w:r>
        <w:rPr>
          <w:rFonts w:ascii="Times New Roman" w:hAnsi="Times New Roman"/>
          <w:sz w:val="28"/>
          <w:szCs w:val="28"/>
          <w:lang w:val="uk-UA"/>
        </w:rPr>
        <w:t xml:space="preserve">цевого самоврядування являється </w:t>
      </w:r>
      <w:r w:rsidRPr="00637BFE">
        <w:rPr>
          <w:rFonts w:ascii="Times New Roman" w:hAnsi="Times New Roman"/>
          <w:sz w:val="28"/>
          <w:szCs w:val="28"/>
          <w:lang w:val="uk-UA"/>
        </w:rPr>
        <w:t>сукупність фінансових ресурсів територі</w:t>
      </w:r>
      <w:r>
        <w:rPr>
          <w:rFonts w:ascii="Times New Roman" w:hAnsi="Times New Roman"/>
          <w:sz w:val="28"/>
          <w:szCs w:val="28"/>
          <w:lang w:val="uk-UA"/>
        </w:rPr>
        <w:t xml:space="preserve">ї, які можна визначити як фонди </w:t>
      </w:r>
      <w:r w:rsidRPr="00637BFE">
        <w:rPr>
          <w:rFonts w:ascii="Times New Roman" w:hAnsi="Times New Roman"/>
          <w:sz w:val="28"/>
          <w:szCs w:val="28"/>
          <w:lang w:val="uk-UA"/>
        </w:rPr>
        <w:t>коштів, що створюються і використовуют</w:t>
      </w:r>
      <w:r>
        <w:rPr>
          <w:rFonts w:ascii="Times New Roman" w:hAnsi="Times New Roman"/>
          <w:sz w:val="28"/>
          <w:szCs w:val="28"/>
          <w:lang w:val="uk-UA"/>
        </w:rPr>
        <w:t xml:space="preserve">ься на соціальний і економічний </w:t>
      </w:r>
      <w:r w:rsidRPr="00637BFE">
        <w:rPr>
          <w:rFonts w:ascii="Times New Roman" w:hAnsi="Times New Roman"/>
          <w:sz w:val="28"/>
          <w:szCs w:val="28"/>
          <w:lang w:val="uk-UA"/>
        </w:rPr>
        <w:t xml:space="preserve">розвиток </w:t>
      </w:r>
      <w:bookmarkStart w:id="0" w:name="_GoBack"/>
      <w:bookmarkEnd w:id="0"/>
      <w:r w:rsidRPr="00637BFE">
        <w:rPr>
          <w:rFonts w:ascii="Times New Roman" w:hAnsi="Times New Roman"/>
          <w:sz w:val="28"/>
          <w:szCs w:val="28"/>
          <w:lang w:val="uk-UA"/>
        </w:rPr>
        <w:t>регіонів. До фінансових ресурсів регіону відносять всю сукупність</w:t>
      </w:r>
      <w:r>
        <w:rPr>
          <w:rFonts w:ascii="Times New Roman" w:hAnsi="Times New Roman"/>
          <w:sz w:val="28"/>
          <w:szCs w:val="28"/>
          <w:lang w:val="uk-UA"/>
        </w:rPr>
        <w:t xml:space="preserve"> </w:t>
      </w:r>
      <w:r w:rsidRPr="00637BFE">
        <w:rPr>
          <w:rFonts w:ascii="Times New Roman" w:hAnsi="Times New Roman"/>
          <w:sz w:val="28"/>
          <w:szCs w:val="28"/>
          <w:lang w:val="uk-UA"/>
        </w:rPr>
        <w:t>фінансових ресурсів, які формуються та (або) використовуються для вирішення</w:t>
      </w:r>
      <w:r>
        <w:rPr>
          <w:rFonts w:ascii="Times New Roman" w:hAnsi="Times New Roman"/>
          <w:sz w:val="28"/>
          <w:szCs w:val="28"/>
          <w:lang w:val="uk-UA"/>
        </w:rPr>
        <w:t xml:space="preserve"> </w:t>
      </w:r>
      <w:r w:rsidRPr="00637BFE">
        <w:rPr>
          <w:rFonts w:ascii="Times New Roman" w:hAnsi="Times New Roman"/>
          <w:sz w:val="28"/>
          <w:szCs w:val="28"/>
          <w:lang w:val="uk-UA"/>
        </w:rPr>
        <w:t>проблем, пов'язаних з процесами проек</w:t>
      </w:r>
      <w:r>
        <w:rPr>
          <w:rFonts w:ascii="Times New Roman" w:hAnsi="Times New Roman"/>
          <w:sz w:val="28"/>
          <w:szCs w:val="28"/>
          <w:lang w:val="uk-UA"/>
        </w:rPr>
        <w:t xml:space="preserve">тування, будівництва, розвитку, </w:t>
      </w:r>
      <w:r w:rsidRPr="00637BFE">
        <w:rPr>
          <w:rFonts w:ascii="Times New Roman" w:hAnsi="Times New Roman"/>
          <w:sz w:val="28"/>
          <w:szCs w:val="28"/>
          <w:lang w:val="uk-UA"/>
        </w:rPr>
        <w:t>функціонування об'єктів та суб'єктів соці</w:t>
      </w:r>
      <w:r>
        <w:rPr>
          <w:rFonts w:ascii="Times New Roman" w:hAnsi="Times New Roman"/>
          <w:sz w:val="28"/>
          <w:szCs w:val="28"/>
          <w:lang w:val="uk-UA"/>
        </w:rPr>
        <w:t>ально-економічної та інженерно-</w:t>
      </w:r>
      <w:r w:rsidRPr="00637BFE">
        <w:rPr>
          <w:rFonts w:ascii="Times New Roman" w:hAnsi="Times New Roman"/>
          <w:sz w:val="28"/>
          <w:szCs w:val="28"/>
          <w:lang w:val="uk-UA"/>
        </w:rPr>
        <w:t>виробничої інфраструктур регіону, суб'єкт</w:t>
      </w:r>
      <w:r>
        <w:rPr>
          <w:rFonts w:ascii="Times New Roman" w:hAnsi="Times New Roman"/>
          <w:sz w:val="28"/>
          <w:szCs w:val="28"/>
          <w:lang w:val="uk-UA"/>
        </w:rPr>
        <w:t xml:space="preserve">ів підприємницької діяльності в </w:t>
      </w:r>
      <w:r w:rsidRPr="00637BFE">
        <w:rPr>
          <w:rFonts w:ascii="Times New Roman" w:hAnsi="Times New Roman"/>
          <w:sz w:val="28"/>
          <w:szCs w:val="28"/>
          <w:lang w:val="uk-UA"/>
        </w:rPr>
        <w:t>регіоні. Фінансові ресурси регіону є одним із видів ресурсів, що забезпечують</w:t>
      </w:r>
      <w:r>
        <w:rPr>
          <w:rFonts w:ascii="Times New Roman" w:hAnsi="Times New Roman"/>
          <w:sz w:val="28"/>
          <w:szCs w:val="28"/>
          <w:lang w:val="uk-UA"/>
        </w:rPr>
        <w:t xml:space="preserve"> </w:t>
      </w:r>
      <w:r w:rsidRPr="00637BFE">
        <w:rPr>
          <w:rFonts w:ascii="Times New Roman" w:hAnsi="Times New Roman"/>
          <w:sz w:val="28"/>
          <w:szCs w:val="28"/>
          <w:lang w:val="uk-UA"/>
        </w:rPr>
        <w:t>й</w:t>
      </w:r>
      <w:r>
        <w:rPr>
          <w:rFonts w:ascii="Times New Roman" w:hAnsi="Times New Roman"/>
          <w:sz w:val="28"/>
          <w:szCs w:val="28"/>
          <w:lang w:val="uk-UA"/>
        </w:rPr>
        <w:t>ого функціонування і розвиток [</w:t>
      </w:r>
      <w:r w:rsidRPr="00637BFE">
        <w:rPr>
          <w:rFonts w:ascii="Times New Roman" w:hAnsi="Times New Roman"/>
          <w:sz w:val="28"/>
          <w:szCs w:val="28"/>
          <w:lang w:val="uk-UA"/>
        </w:rPr>
        <w:t>4, с. 33].</w:t>
      </w:r>
    </w:p>
    <w:p w:rsidR="001F62C9" w:rsidRDefault="001F62C9" w:rsidP="000D2205">
      <w:pPr>
        <w:pStyle w:val="NormalWeb"/>
        <w:spacing w:before="0" w:beforeAutospacing="0" w:after="0" w:afterAutospacing="0" w:line="360" w:lineRule="auto"/>
        <w:ind w:firstLine="709"/>
        <w:jc w:val="both"/>
        <w:rPr>
          <w:sz w:val="28"/>
          <w:szCs w:val="28"/>
          <w:lang w:val="uk-UA"/>
        </w:rPr>
      </w:pPr>
      <w:r w:rsidRPr="00546F2A">
        <w:rPr>
          <w:sz w:val="28"/>
          <w:szCs w:val="28"/>
          <w:lang w:val="uk-UA"/>
        </w:rPr>
        <w:t>Фінансове забезпечення та фінансова</w:t>
      </w:r>
      <w:r w:rsidRPr="0017476A">
        <w:rPr>
          <w:sz w:val="28"/>
          <w:szCs w:val="28"/>
          <w:lang w:val="uk-UA"/>
        </w:rPr>
        <w:t xml:space="preserve"> стійкість місцевого бю</w:t>
      </w:r>
      <w:r>
        <w:rPr>
          <w:sz w:val="28"/>
          <w:szCs w:val="28"/>
          <w:lang w:val="uk-UA"/>
        </w:rPr>
        <w:t xml:space="preserve">джету характеризується наявними </w:t>
      </w:r>
      <w:r w:rsidRPr="0017476A">
        <w:rPr>
          <w:sz w:val="28"/>
          <w:szCs w:val="28"/>
          <w:lang w:val="uk-UA"/>
        </w:rPr>
        <w:t>ресурсами та відображає спроможність місцевих органів вл</w:t>
      </w:r>
      <w:r>
        <w:rPr>
          <w:sz w:val="28"/>
          <w:szCs w:val="28"/>
          <w:lang w:val="uk-UA"/>
        </w:rPr>
        <w:t xml:space="preserve">ади виконати </w:t>
      </w:r>
      <w:r w:rsidRPr="0017476A">
        <w:rPr>
          <w:sz w:val="28"/>
          <w:szCs w:val="28"/>
          <w:lang w:val="uk-UA"/>
        </w:rPr>
        <w:t>покладені на них завдання відповідно до</w:t>
      </w:r>
      <w:r>
        <w:rPr>
          <w:sz w:val="28"/>
          <w:szCs w:val="28"/>
          <w:lang w:val="uk-UA"/>
        </w:rPr>
        <w:t xml:space="preserve"> законодавства, тобто фінансову </w:t>
      </w:r>
      <w:r w:rsidRPr="0017476A">
        <w:rPr>
          <w:sz w:val="28"/>
          <w:szCs w:val="28"/>
          <w:lang w:val="uk-UA"/>
        </w:rPr>
        <w:t>забезпеченість можна трактувати як збалан</w:t>
      </w:r>
      <w:r>
        <w:rPr>
          <w:sz w:val="28"/>
          <w:szCs w:val="28"/>
          <w:lang w:val="uk-UA"/>
        </w:rPr>
        <w:t>сованість між потребами регіону та його можливостями</w:t>
      </w:r>
      <w:r w:rsidRPr="0017476A">
        <w:rPr>
          <w:sz w:val="28"/>
          <w:szCs w:val="28"/>
          <w:lang w:val="uk-UA"/>
        </w:rPr>
        <w:t>.</w:t>
      </w:r>
    </w:p>
    <w:p w:rsidR="001F62C9" w:rsidRDefault="001F62C9" w:rsidP="00A73532">
      <w:pPr>
        <w:pStyle w:val="NormalWeb"/>
        <w:spacing w:before="0" w:beforeAutospacing="0" w:after="0" w:afterAutospacing="0" w:line="360" w:lineRule="auto"/>
        <w:ind w:firstLine="709"/>
        <w:jc w:val="both"/>
        <w:rPr>
          <w:sz w:val="28"/>
          <w:szCs w:val="28"/>
          <w:lang w:val="uk-UA"/>
        </w:rPr>
      </w:pPr>
      <w:r w:rsidRPr="0017476A">
        <w:rPr>
          <w:sz w:val="28"/>
          <w:szCs w:val="28"/>
          <w:lang w:val="uk-UA"/>
        </w:rPr>
        <w:t>Одним із головних завдань при фо</w:t>
      </w:r>
      <w:r>
        <w:rPr>
          <w:sz w:val="28"/>
          <w:szCs w:val="28"/>
          <w:lang w:val="uk-UA"/>
        </w:rPr>
        <w:t xml:space="preserve">рмуванні бюджетів на сьогодні є </w:t>
      </w:r>
      <w:r w:rsidRPr="0017476A">
        <w:rPr>
          <w:sz w:val="28"/>
          <w:szCs w:val="28"/>
          <w:lang w:val="uk-UA"/>
        </w:rPr>
        <w:t>забезпечення фінансової рівноваги в процесі їх розвитку.</w:t>
      </w:r>
      <w:r>
        <w:rPr>
          <w:sz w:val="28"/>
          <w:szCs w:val="28"/>
          <w:lang w:val="uk-UA"/>
        </w:rPr>
        <w:t xml:space="preserve"> </w:t>
      </w:r>
      <w:r w:rsidRPr="0017476A">
        <w:rPr>
          <w:sz w:val="28"/>
          <w:szCs w:val="28"/>
          <w:lang w:val="uk-UA"/>
        </w:rPr>
        <w:t xml:space="preserve">На даному етапі реформування місцевих бюджетів неабиякого </w:t>
      </w:r>
      <w:r>
        <w:rPr>
          <w:sz w:val="28"/>
          <w:szCs w:val="28"/>
          <w:lang w:val="uk-UA"/>
        </w:rPr>
        <w:t xml:space="preserve">значення на </w:t>
      </w:r>
      <w:r w:rsidRPr="0017476A">
        <w:rPr>
          <w:sz w:val="28"/>
          <w:szCs w:val="28"/>
          <w:lang w:val="uk-UA"/>
        </w:rPr>
        <w:t>буває впровадження середньострокового б</w:t>
      </w:r>
      <w:r>
        <w:rPr>
          <w:sz w:val="28"/>
          <w:szCs w:val="28"/>
          <w:lang w:val="uk-UA"/>
        </w:rPr>
        <w:t xml:space="preserve">юджетного планування як </w:t>
      </w:r>
      <w:r w:rsidRPr="0017476A">
        <w:rPr>
          <w:sz w:val="28"/>
          <w:szCs w:val="28"/>
          <w:lang w:val="uk-UA"/>
        </w:rPr>
        <w:t>дієвого механізму узгодження соціально-ек</w:t>
      </w:r>
      <w:r>
        <w:rPr>
          <w:sz w:val="28"/>
          <w:szCs w:val="28"/>
          <w:lang w:val="uk-UA"/>
        </w:rPr>
        <w:t xml:space="preserve">ономічної та бюджетної політик. </w:t>
      </w:r>
      <w:r w:rsidRPr="0017476A">
        <w:rPr>
          <w:sz w:val="28"/>
          <w:szCs w:val="28"/>
          <w:lang w:val="uk-UA"/>
        </w:rPr>
        <w:t>У зв’язку з цим особливо актуалізуються пит</w:t>
      </w:r>
      <w:r>
        <w:rPr>
          <w:sz w:val="28"/>
          <w:szCs w:val="28"/>
          <w:lang w:val="uk-UA"/>
        </w:rPr>
        <w:t xml:space="preserve">ання оцінки стійкості місцевого </w:t>
      </w:r>
      <w:r w:rsidRPr="0017476A">
        <w:rPr>
          <w:sz w:val="28"/>
          <w:szCs w:val="28"/>
          <w:lang w:val="uk-UA"/>
        </w:rPr>
        <w:t xml:space="preserve">бюджету, повинна розглядатися як </w:t>
      </w:r>
      <w:r>
        <w:rPr>
          <w:sz w:val="28"/>
          <w:szCs w:val="28"/>
          <w:lang w:val="uk-UA"/>
        </w:rPr>
        <w:t xml:space="preserve">поточна, так і на довгострокову </w:t>
      </w:r>
      <w:r w:rsidRPr="0017476A">
        <w:rPr>
          <w:sz w:val="28"/>
          <w:szCs w:val="28"/>
          <w:lang w:val="uk-UA"/>
        </w:rPr>
        <w:t xml:space="preserve">перспективу. </w:t>
      </w:r>
    </w:p>
    <w:p w:rsidR="001F62C9" w:rsidRDefault="001F62C9" w:rsidP="00A73532">
      <w:pPr>
        <w:spacing w:after="0" w:line="360" w:lineRule="auto"/>
        <w:ind w:firstLine="709"/>
        <w:rPr>
          <w:rFonts w:ascii="Times New Roman" w:hAnsi="Times New Roman"/>
          <w:sz w:val="28"/>
          <w:szCs w:val="28"/>
          <w:lang w:val="uk-UA"/>
        </w:rPr>
      </w:pPr>
      <w:r w:rsidRPr="00A73532">
        <w:rPr>
          <w:rFonts w:ascii="Times New Roman" w:hAnsi="Times New Roman"/>
          <w:sz w:val="28"/>
          <w:szCs w:val="28"/>
          <w:lang w:val="uk-UA"/>
        </w:rPr>
        <w:t>Характеристика поточної та довгострокової стійкості місцевих бюджетів</w:t>
      </w:r>
      <w:r>
        <w:rPr>
          <w:rFonts w:ascii="Times New Roman" w:hAnsi="Times New Roman"/>
          <w:sz w:val="28"/>
          <w:szCs w:val="28"/>
          <w:lang w:val="uk-UA"/>
        </w:rPr>
        <w:t>:</w:t>
      </w:r>
    </w:p>
    <w:p w:rsidR="001F62C9" w:rsidRDefault="001F62C9" w:rsidP="00C66F1B">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1) Поточна стійкість - з</w:t>
      </w:r>
      <w:r w:rsidRPr="00A73532">
        <w:rPr>
          <w:rFonts w:ascii="Times New Roman" w:hAnsi="Times New Roman"/>
          <w:sz w:val="28"/>
          <w:szCs w:val="28"/>
          <w:lang w:val="uk-UA"/>
        </w:rPr>
        <w:t>аснована на статистичному аналізі параметрів системи, на оцінці поточної господарської кон’юнктури. Означає здатність адаптуватися до змін зовнішнього середовища, що мають локальний характер. Збереження поточної стійкості бюджету може служити метою управління ресурсами в короткостроковому періоді. Рівень поточної стійкості бюджету можна оцінити по виконанню плану поточних платежів до бюджету, величині кредиторської заборгованості.</w:t>
      </w:r>
    </w:p>
    <w:p w:rsidR="001F62C9" w:rsidRPr="00BA60B7" w:rsidRDefault="001F62C9" w:rsidP="00A73532">
      <w:pPr>
        <w:spacing w:after="0" w:line="360" w:lineRule="auto"/>
        <w:ind w:firstLine="709"/>
        <w:jc w:val="both"/>
        <w:rPr>
          <w:rFonts w:ascii="Times New Roman" w:hAnsi="Times New Roman"/>
          <w:sz w:val="28"/>
          <w:szCs w:val="28"/>
        </w:rPr>
      </w:pPr>
      <w:r>
        <w:rPr>
          <w:rFonts w:ascii="Times New Roman" w:hAnsi="Times New Roman"/>
          <w:sz w:val="28"/>
          <w:szCs w:val="28"/>
          <w:lang w:val="uk-UA"/>
        </w:rPr>
        <w:t xml:space="preserve">2) Довгострокова стійкість - </w:t>
      </w:r>
      <w:r w:rsidRPr="00A73532">
        <w:rPr>
          <w:rFonts w:ascii="Times New Roman" w:hAnsi="Times New Roman"/>
          <w:sz w:val="28"/>
          <w:szCs w:val="28"/>
          <w:lang w:val="uk-UA"/>
        </w:rPr>
        <w:t>Означає динамічну рівновагу системи в процесі її розвитку. Довгострокова фінансова стійкість повинна характеризуватися позитивною динамікою фактичних і прогнозних характеристик основних параметрів бюджету</w:t>
      </w:r>
      <w:r>
        <w:rPr>
          <w:rFonts w:ascii="Times New Roman" w:hAnsi="Times New Roman"/>
          <w:sz w:val="28"/>
          <w:szCs w:val="28"/>
        </w:rPr>
        <w:t>[5, с. 142]</w:t>
      </w:r>
      <w:r w:rsidRPr="00BA60B7">
        <w:rPr>
          <w:rFonts w:ascii="Times New Roman" w:hAnsi="Times New Roman"/>
          <w:sz w:val="28"/>
          <w:szCs w:val="28"/>
        </w:rPr>
        <w:t>.</w:t>
      </w:r>
    </w:p>
    <w:p w:rsidR="001F62C9" w:rsidRPr="00BA60B7" w:rsidRDefault="001F62C9" w:rsidP="00A73532">
      <w:pPr>
        <w:spacing w:after="0" w:line="360" w:lineRule="auto"/>
        <w:ind w:firstLine="709"/>
        <w:jc w:val="both"/>
        <w:rPr>
          <w:rFonts w:ascii="Times New Roman" w:hAnsi="Times New Roman"/>
          <w:sz w:val="28"/>
          <w:szCs w:val="28"/>
          <w:lang w:val="uk-UA"/>
        </w:rPr>
      </w:pPr>
      <w:r w:rsidRPr="00A73532">
        <w:rPr>
          <w:rFonts w:ascii="Times New Roman" w:hAnsi="Times New Roman"/>
          <w:sz w:val="28"/>
          <w:szCs w:val="28"/>
          <w:lang w:val="uk-UA"/>
        </w:rPr>
        <w:t xml:space="preserve">Таким чином, стійкість місцевого бюджету як стан доходів і видатків бюджету, їх структуру і динаміку, які забезпечують органам місцевої влади можливість повного, своєчасного і незалежного від інших бюджетних рівнів виконання своїх зобов’язань, сприяє збалансованому розвитку економіки та соціальної сфери. </w:t>
      </w:r>
      <w:r w:rsidRPr="00BA60B7">
        <w:rPr>
          <w:rFonts w:ascii="Times New Roman" w:hAnsi="Times New Roman"/>
          <w:sz w:val="28"/>
          <w:szCs w:val="28"/>
          <w:lang w:val="uk-UA"/>
        </w:rPr>
        <w:t>Задля збереження стійкості місцевого бюджету його структура повинна забезпечувати необхідні потреби регіонального господарства і населення, а також ініціювати соціально-економічний роз</w:t>
      </w:r>
      <w:r>
        <w:rPr>
          <w:rFonts w:ascii="Times New Roman" w:hAnsi="Times New Roman"/>
          <w:sz w:val="28"/>
          <w:szCs w:val="28"/>
        </w:rPr>
        <w:t>виток територій</w:t>
      </w:r>
      <w:r w:rsidRPr="00BA60B7">
        <w:rPr>
          <w:rFonts w:ascii="Times New Roman" w:hAnsi="Times New Roman"/>
          <w:sz w:val="28"/>
          <w:szCs w:val="28"/>
          <w:lang w:val="uk-UA"/>
        </w:rPr>
        <w:t>.</w:t>
      </w:r>
    </w:p>
    <w:p w:rsidR="001F62C9" w:rsidRDefault="001F62C9" w:rsidP="0034749C">
      <w:pPr>
        <w:spacing w:after="0" w:line="360" w:lineRule="auto"/>
        <w:jc w:val="center"/>
        <w:rPr>
          <w:rFonts w:ascii="Times New Roman" w:hAnsi="Times New Roman"/>
          <w:sz w:val="28"/>
          <w:szCs w:val="28"/>
          <w:lang w:val="uk-UA"/>
        </w:rPr>
      </w:pPr>
    </w:p>
    <w:p w:rsidR="001F62C9" w:rsidRDefault="001F62C9" w:rsidP="00FD6D83">
      <w:pPr>
        <w:spacing w:after="0" w:line="360" w:lineRule="auto"/>
        <w:rPr>
          <w:rFonts w:ascii="Times New Roman" w:hAnsi="Times New Roman"/>
          <w:sz w:val="28"/>
          <w:szCs w:val="28"/>
          <w:lang w:val="uk-UA"/>
        </w:rPr>
      </w:pPr>
      <w:r w:rsidRPr="0034749C">
        <w:rPr>
          <w:rFonts w:ascii="Times New Roman" w:hAnsi="Times New Roman"/>
          <w:b/>
          <w:sz w:val="28"/>
          <w:szCs w:val="28"/>
          <w:lang w:val="uk-UA"/>
        </w:rPr>
        <w:t>Література</w:t>
      </w:r>
      <w:r>
        <w:rPr>
          <w:rFonts w:ascii="Times New Roman" w:hAnsi="Times New Roman"/>
          <w:sz w:val="28"/>
          <w:szCs w:val="28"/>
          <w:lang w:val="uk-UA"/>
        </w:rPr>
        <w:t>:</w:t>
      </w:r>
    </w:p>
    <w:p w:rsidR="001F62C9" w:rsidRPr="00121F0F" w:rsidRDefault="001F62C9" w:rsidP="0034749C">
      <w:pPr>
        <w:spacing w:after="0" w:line="360" w:lineRule="auto"/>
        <w:ind w:firstLine="709"/>
        <w:jc w:val="both"/>
        <w:rPr>
          <w:rFonts w:ascii="Times New Roman" w:hAnsi="Times New Roman"/>
          <w:sz w:val="28"/>
          <w:szCs w:val="28"/>
        </w:rPr>
      </w:pPr>
      <w:r w:rsidRPr="00121F0F">
        <w:rPr>
          <w:rFonts w:ascii="Times New Roman" w:hAnsi="Times New Roman"/>
          <w:sz w:val="28"/>
          <w:szCs w:val="28"/>
        </w:rPr>
        <w:t>1. Алєксєєв І. В. Бюджетна система України: навч. посібник / І. В. Алєксєєв, Н. Б. Ярошевич – К. : Хай-Тек Прес, 2008. – 376 с.</w:t>
      </w:r>
    </w:p>
    <w:p w:rsidR="001F62C9" w:rsidRPr="0034749C" w:rsidRDefault="001F62C9" w:rsidP="0034749C">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2.</w:t>
      </w:r>
      <w:r w:rsidRPr="00BA60B7">
        <w:rPr>
          <w:rFonts w:ascii="Times New Roman" w:hAnsi="Times New Roman"/>
          <w:sz w:val="28"/>
          <w:szCs w:val="28"/>
          <w:lang w:val="uk-UA"/>
        </w:rPr>
        <w:t xml:space="preserve">Бюджетний кодекс України. – Режим доступу : </w:t>
      </w:r>
      <w:hyperlink r:id="rId4" w:history="1">
        <w:r w:rsidRPr="0034749C">
          <w:rPr>
            <w:rStyle w:val="Hyperlink"/>
            <w:rFonts w:ascii="Times New Roman" w:hAnsi="Times New Roman"/>
            <w:color w:val="auto"/>
            <w:sz w:val="28"/>
            <w:szCs w:val="28"/>
            <w:u w:val="none"/>
            <w:lang w:val="uk-UA"/>
          </w:rPr>
          <w:t>http://zakon3.rada.gov.ua/laws/show/2456-17</w:t>
        </w:r>
      </w:hyperlink>
    </w:p>
    <w:p w:rsidR="001F62C9" w:rsidRDefault="001F62C9" w:rsidP="0034749C">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3. </w:t>
      </w:r>
      <w:r w:rsidRPr="006E03CF">
        <w:rPr>
          <w:rFonts w:ascii="Times New Roman" w:hAnsi="Times New Roman"/>
          <w:sz w:val="28"/>
          <w:szCs w:val="28"/>
          <w:lang w:val="uk-UA"/>
        </w:rPr>
        <w:t>Дем’янчук О. І. Місцеві фінанси : навч. посібник / О. І. Дем’янчук. – Острог : Видавництво Національного університету “Острозька академія”, 2013. – 340 с.</w:t>
      </w:r>
    </w:p>
    <w:p w:rsidR="001F62C9" w:rsidRPr="006E03CF" w:rsidRDefault="001F62C9" w:rsidP="0034749C">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4. </w:t>
      </w:r>
      <w:r w:rsidRPr="006E03CF">
        <w:rPr>
          <w:rFonts w:ascii="Times New Roman" w:hAnsi="Times New Roman"/>
          <w:sz w:val="28"/>
          <w:szCs w:val="28"/>
          <w:lang w:val="uk-UA"/>
        </w:rPr>
        <w:t>Загальна теорія фінансів / під. ред. Л. А. Дробозиной. - М.: Банки і біржі,</w:t>
      </w:r>
    </w:p>
    <w:p w:rsidR="001F62C9" w:rsidRPr="006E03CF" w:rsidRDefault="001F62C9" w:rsidP="0034749C">
      <w:pPr>
        <w:spacing w:after="0" w:line="360" w:lineRule="auto"/>
        <w:jc w:val="both"/>
        <w:rPr>
          <w:rFonts w:ascii="Times New Roman" w:hAnsi="Times New Roman"/>
          <w:sz w:val="28"/>
          <w:szCs w:val="28"/>
          <w:lang w:val="uk-UA"/>
        </w:rPr>
      </w:pPr>
      <w:r w:rsidRPr="006E03CF">
        <w:rPr>
          <w:rFonts w:ascii="Times New Roman" w:hAnsi="Times New Roman"/>
          <w:sz w:val="28"/>
          <w:szCs w:val="28"/>
          <w:lang w:val="uk-UA"/>
        </w:rPr>
        <w:t>Ізд.об'ед. «ЮНИТИ», 1995. - 256 с</w:t>
      </w:r>
      <w:r>
        <w:rPr>
          <w:rFonts w:ascii="Times New Roman" w:hAnsi="Times New Roman"/>
          <w:sz w:val="28"/>
          <w:szCs w:val="28"/>
          <w:lang w:val="uk-UA"/>
        </w:rPr>
        <w:t>.</w:t>
      </w:r>
    </w:p>
    <w:p w:rsidR="001F62C9" w:rsidRDefault="001F62C9" w:rsidP="0034749C">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5.</w:t>
      </w:r>
      <w:r w:rsidRPr="00BA60B7">
        <w:rPr>
          <w:rFonts w:ascii="Times New Roman" w:hAnsi="Times New Roman"/>
          <w:sz w:val="28"/>
          <w:szCs w:val="28"/>
          <w:lang w:val="uk-UA"/>
        </w:rPr>
        <w:t>Коритько Т.Ю. Методи оцінк</w:t>
      </w:r>
      <w:r>
        <w:rPr>
          <w:rFonts w:ascii="Times New Roman" w:hAnsi="Times New Roman"/>
          <w:sz w:val="28"/>
          <w:szCs w:val="28"/>
          <w:lang w:val="uk-UA"/>
        </w:rPr>
        <w:t xml:space="preserve">и фінансової стійкості місцевих </w:t>
      </w:r>
      <w:r w:rsidRPr="00BA60B7">
        <w:rPr>
          <w:rFonts w:ascii="Times New Roman" w:hAnsi="Times New Roman"/>
          <w:sz w:val="28"/>
          <w:szCs w:val="28"/>
          <w:lang w:val="uk-UA"/>
        </w:rPr>
        <w:t>бюджетів [Електронний ресурс] / Т.Ю. Кор</w:t>
      </w:r>
      <w:r>
        <w:rPr>
          <w:rFonts w:ascii="Times New Roman" w:hAnsi="Times New Roman"/>
          <w:sz w:val="28"/>
          <w:szCs w:val="28"/>
          <w:lang w:val="uk-UA"/>
        </w:rPr>
        <w:t>итько // Економічний простір. –</w:t>
      </w:r>
      <w:r w:rsidRPr="00BA60B7">
        <w:rPr>
          <w:rFonts w:ascii="Times New Roman" w:hAnsi="Times New Roman"/>
          <w:sz w:val="28"/>
          <w:szCs w:val="28"/>
          <w:lang w:val="uk-UA"/>
        </w:rPr>
        <w:t xml:space="preserve">2008. – №12. </w:t>
      </w:r>
      <w:r>
        <w:rPr>
          <w:rFonts w:ascii="Times New Roman" w:hAnsi="Times New Roman"/>
          <w:sz w:val="28"/>
          <w:szCs w:val="28"/>
          <w:lang w:val="uk-UA"/>
        </w:rPr>
        <w:t>– С.140 – 145. – Режим доступу:</w:t>
      </w:r>
      <w:hyperlink r:id="rId5" w:history="1">
        <w:r w:rsidRPr="0034749C">
          <w:rPr>
            <w:rStyle w:val="Hyperlink"/>
            <w:rFonts w:ascii="Times New Roman" w:hAnsi="Times New Roman"/>
            <w:color w:val="auto"/>
            <w:sz w:val="28"/>
            <w:szCs w:val="28"/>
            <w:u w:val="none"/>
            <w:lang w:val="uk-UA"/>
          </w:rPr>
          <w:t>http://nbuv.gov.ua/portal/Soc_Gum/Ekpr/2008_12/1/koritko.pdf</w:t>
        </w:r>
      </w:hyperlink>
    </w:p>
    <w:p w:rsidR="001F62C9" w:rsidRDefault="001F62C9" w:rsidP="0034749C">
      <w:pPr>
        <w:spacing w:after="0" w:line="360" w:lineRule="auto"/>
        <w:ind w:firstLine="709"/>
        <w:jc w:val="right"/>
        <w:rPr>
          <w:rFonts w:ascii="Times New Roman" w:hAnsi="Times New Roman"/>
          <w:sz w:val="28"/>
          <w:szCs w:val="28"/>
          <w:lang w:val="uk-UA"/>
        </w:rPr>
      </w:pPr>
      <w:r w:rsidRPr="0034749C">
        <w:rPr>
          <w:rFonts w:ascii="Times New Roman" w:hAnsi="Times New Roman"/>
          <w:b/>
          <w:sz w:val="28"/>
          <w:szCs w:val="28"/>
          <w:lang w:val="uk-UA"/>
        </w:rPr>
        <w:t>Науковий керівник</w:t>
      </w:r>
      <w:r>
        <w:rPr>
          <w:rFonts w:ascii="Times New Roman" w:hAnsi="Times New Roman"/>
          <w:sz w:val="28"/>
          <w:szCs w:val="28"/>
          <w:lang w:val="uk-UA"/>
        </w:rPr>
        <w:t xml:space="preserve">: </w:t>
      </w:r>
    </w:p>
    <w:p w:rsidR="001F62C9" w:rsidRDefault="001F62C9" w:rsidP="0034749C">
      <w:pPr>
        <w:spacing w:after="0" w:line="360" w:lineRule="auto"/>
        <w:ind w:firstLine="709"/>
        <w:jc w:val="right"/>
        <w:rPr>
          <w:rFonts w:ascii="Times New Roman" w:hAnsi="Times New Roman"/>
          <w:sz w:val="28"/>
          <w:szCs w:val="28"/>
          <w:lang w:val="uk-UA"/>
        </w:rPr>
      </w:pPr>
      <w:r>
        <w:rPr>
          <w:rFonts w:ascii="Times New Roman" w:hAnsi="Times New Roman"/>
          <w:sz w:val="28"/>
          <w:szCs w:val="28"/>
          <w:lang w:val="uk-UA"/>
        </w:rPr>
        <w:t>к</w:t>
      </w:r>
      <w:r w:rsidRPr="0034749C">
        <w:rPr>
          <w:rFonts w:ascii="Times New Roman" w:hAnsi="Times New Roman"/>
          <w:sz w:val="28"/>
          <w:szCs w:val="28"/>
          <w:lang w:val="uk-UA"/>
        </w:rPr>
        <w:t>андидат економічних наук, доцент</w:t>
      </w:r>
      <w:r>
        <w:rPr>
          <w:rFonts w:ascii="Times New Roman" w:hAnsi="Times New Roman"/>
          <w:sz w:val="28"/>
          <w:szCs w:val="28"/>
          <w:lang w:val="uk-UA"/>
        </w:rPr>
        <w:t xml:space="preserve"> Коренюк Людмила Володимирівна.</w:t>
      </w:r>
    </w:p>
    <w:p w:rsidR="001F62C9" w:rsidRDefault="001F62C9" w:rsidP="0034749C">
      <w:pPr>
        <w:spacing w:after="0" w:line="360" w:lineRule="auto"/>
        <w:ind w:firstLine="709"/>
        <w:jc w:val="right"/>
        <w:rPr>
          <w:rFonts w:ascii="Times New Roman" w:hAnsi="Times New Roman"/>
          <w:sz w:val="28"/>
          <w:szCs w:val="28"/>
          <w:lang w:val="uk-UA"/>
        </w:rPr>
      </w:pPr>
    </w:p>
    <w:p w:rsidR="001F62C9" w:rsidRPr="0034749C" w:rsidRDefault="001F62C9" w:rsidP="00FD6D83">
      <w:pPr>
        <w:jc w:val="center"/>
        <w:rPr>
          <w:lang w:val="uk-UA"/>
        </w:rPr>
      </w:pPr>
      <w:r w:rsidRPr="0034749C">
        <w:rPr>
          <w:lang w:val="uk-UA"/>
        </w:rPr>
        <w:br w:type="page"/>
      </w:r>
    </w:p>
    <w:sectPr w:rsidR="001F62C9" w:rsidRPr="0034749C" w:rsidSect="00ED1FE6">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14AC0"/>
    <w:rsid w:val="000D2205"/>
    <w:rsid w:val="00121F0F"/>
    <w:rsid w:val="0017476A"/>
    <w:rsid w:val="001F62C9"/>
    <w:rsid w:val="00247684"/>
    <w:rsid w:val="0034749C"/>
    <w:rsid w:val="003C372C"/>
    <w:rsid w:val="00546F2A"/>
    <w:rsid w:val="00637BFE"/>
    <w:rsid w:val="006E03CF"/>
    <w:rsid w:val="00704A50"/>
    <w:rsid w:val="007A310A"/>
    <w:rsid w:val="00913CE7"/>
    <w:rsid w:val="00A14AC0"/>
    <w:rsid w:val="00A73532"/>
    <w:rsid w:val="00BA60B7"/>
    <w:rsid w:val="00C47B30"/>
    <w:rsid w:val="00C66F1B"/>
    <w:rsid w:val="00E14C45"/>
    <w:rsid w:val="00ED1FE6"/>
    <w:rsid w:val="00FD6D8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7B30"/>
    <w:pPr>
      <w:spacing w:after="160" w:line="259"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0D220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0D2205"/>
    <w:pPr>
      <w:spacing w:before="100" w:beforeAutospacing="1" w:after="100" w:afterAutospacing="1" w:line="240" w:lineRule="auto"/>
    </w:pPr>
    <w:rPr>
      <w:rFonts w:ascii="Times New Roman" w:eastAsia="Times New Roman" w:hAnsi="Times New Roman"/>
      <w:sz w:val="24"/>
      <w:szCs w:val="24"/>
      <w:lang w:eastAsia="ru-RU"/>
    </w:rPr>
  </w:style>
  <w:style w:type="character" w:styleId="Hyperlink">
    <w:name w:val="Hyperlink"/>
    <w:basedOn w:val="DefaultParagraphFont"/>
    <w:uiPriority w:val="99"/>
    <w:rsid w:val="006E03CF"/>
    <w:rPr>
      <w:rFonts w:cs="Times New Roman"/>
      <w:color w:val="0563C1"/>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nbuv.gov.ua/portal/Soc_Gum/Ekpr/2008_12/1/koritko.pdf" TargetMode="External"/><Relationship Id="rId4" Type="http://schemas.openxmlformats.org/officeDocument/2006/relationships/hyperlink" Target="http://zakon3.rada.gov.ua/laws/show/2456-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67</TotalTime>
  <Pages>8</Pages>
  <Words>7470</Words>
  <Characters>4259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Admin</cp:lastModifiedBy>
  <cp:revision>6</cp:revision>
  <dcterms:created xsi:type="dcterms:W3CDTF">2017-12-28T12:29:00Z</dcterms:created>
  <dcterms:modified xsi:type="dcterms:W3CDTF">2017-12-29T13:56:00Z</dcterms:modified>
</cp:coreProperties>
</file>