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D0E" w:rsidRPr="00631AA4" w:rsidRDefault="009F4D0E" w:rsidP="009001E8">
      <w:pPr>
        <w:pStyle w:val="ListParagraph"/>
        <w:spacing w:after="100" w:afterAutospacing="1" w:line="360" w:lineRule="auto"/>
        <w:ind w:left="113" w:right="113"/>
        <w:jc w:val="right"/>
        <w:rPr>
          <w:rFonts w:ascii="Times New Roman" w:hAnsi="Times New Roman"/>
          <w:b/>
          <w:sz w:val="28"/>
          <w:szCs w:val="28"/>
          <w:lang w:val="uk-UA"/>
        </w:rPr>
      </w:pPr>
      <w:r w:rsidRPr="00631AA4">
        <w:rPr>
          <w:rFonts w:ascii="Times New Roman" w:hAnsi="Times New Roman"/>
          <w:b/>
          <w:sz w:val="28"/>
          <w:szCs w:val="28"/>
          <w:lang w:val="uk-UA"/>
        </w:rPr>
        <w:t xml:space="preserve">Олексій Вапняр </w:t>
      </w:r>
    </w:p>
    <w:p w:rsidR="009F4D0E" w:rsidRPr="00631AA4" w:rsidRDefault="009F4D0E" w:rsidP="009001E8">
      <w:pPr>
        <w:pStyle w:val="ListParagraph"/>
        <w:spacing w:after="100" w:afterAutospacing="1" w:line="360" w:lineRule="auto"/>
        <w:ind w:left="113" w:right="113"/>
        <w:jc w:val="right"/>
        <w:rPr>
          <w:rFonts w:ascii="Times New Roman" w:hAnsi="Times New Roman"/>
          <w:b/>
          <w:sz w:val="28"/>
          <w:szCs w:val="28"/>
          <w:lang w:val="uk-UA"/>
        </w:rPr>
      </w:pPr>
      <w:r w:rsidRPr="00631AA4">
        <w:rPr>
          <w:rFonts w:ascii="Times New Roman" w:hAnsi="Times New Roman"/>
          <w:b/>
          <w:sz w:val="28"/>
          <w:szCs w:val="28"/>
          <w:lang w:val="uk-UA"/>
        </w:rPr>
        <w:t>(</w:t>
      </w:r>
      <w:r w:rsidRPr="00631AA4">
        <w:rPr>
          <w:rFonts w:ascii="Times New Roman" w:hAnsi="Times New Roman"/>
          <w:b/>
          <w:sz w:val="28"/>
          <w:szCs w:val="28"/>
        </w:rPr>
        <w:t>Одеса, Україна</w:t>
      </w:r>
      <w:r w:rsidRPr="00631AA4">
        <w:rPr>
          <w:rFonts w:ascii="Times New Roman" w:hAnsi="Times New Roman"/>
          <w:b/>
          <w:sz w:val="28"/>
          <w:szCs w:val="28"/>
          <w:lang w:val="uk-UA"/>
        </w:rPr>
        <w:t>)</w:t>
      </w:r>
    </w:p>
    <w:p w:rsidR="009F4D0E" w:rsidRPr="004C3F25" w:rsidRDefault="009F4D0E" w:rsidP="00631AA4">
      <w:pPr>
        <w:pStyle w:val="ListParagraph"/>
        <w:spacing w:after="100" w:afterAutospacing="1" w:line="360" w:lineRule="auto"/>
        <w:ind w:left="0" w:right="113"/>
        <w:rPr>
          <w:rFonts w:ascii="Times New Roman" w:hAnsi="Times New Roman"/>
          <w:sz w:val="28"/>
          <w:szCs w:val="28"/>
          <w:lang w:val="uk-UA"/>
        </w:rPr>
      </w:pPr>
    </w:p>
    <w:p w:rsidR="009F4D0E" w:rsidRPr="00307447" w:rsidRDefault="009F4D0E" w:rsidP="009001E8">
      <w:pPr>
        <w:widowControl w:val="0"/>
        <w:spacing w:after="100" w:afterAutospacing="1" w:line="360" w:lineRule="auto"/>
        <w:ind w:left="113" w:right="113"/>
        <w:jc w:val="center"/>
        <w:rPr>
          <w:rFonts w:ascii="Times New Roman" w:hAnsi="Times New Roman"/>
          <w:b/>
          <w:bCs/>
          <w:color w:val="000000"/>
          <w:sz w:val="28"/>
          <w:szCs w:val="28"/>
          <w:lang w:val="uk-UA" w:eastAsia="ru-RU"/>
        </w:rPr>
      </w:pPr>
      <w:r>
        <w:rPr>
          <w:rFonts w:ascii="Times New Roman" w:hAnsi="Times New Roman"/>
          <w:b/>
          <w:bCs/>
          <w:color w:val="000000"/>
          <w:sz w:val="28"/>
          <w:szCs w:val="28"/>
          <w:lang w:val="uk-UA" w:eastAsia="ru-RU"/>
        </w:rPr>
        <w:t>КРИТЕРІЇ ІНТЕРПРЕТАЦІЙНИХ УМІНЬ МАЙБУТНІХ УЧИТЕЛІВ МУЗИКИ В ПРОЦЕСІ НАВЧАННЯ ГРИ НА ФОРТЕПІАНО</w:t>
      </w:r>
    </w:p>
    <w:p w:rsidR="009F4D0E" w:rsidRDefault="009F4D0E" w:rsidP="009001E8">
      <w:pPr>
        <w:widowControl w:val="0"/>
        <w:spacing w:after="100" w:afterAutospacing="1" w:line="360" w:lineRule="auto"/>
        <w:ind w:left="113" w:right="113" w:firstLine="709"/>
        <w:jc w:val="both"/>
        <w:rPr>
          <w:rFonts w:ascii="Times New Roman" w:hAnsi="Times New Roman"/>
          <w:sz w:val="28"/>
          <w:szCs w:val="28"/>
          <w:lang w:val="uk-UA"/>
        </w:rPr>
      </w:pPr>
      <w:r w:rsidRPr="00C83B05">
        <w:rPr>
          <w:rFonts w:ascii="Times New Roman" w:hAnsi="Times New Roman"/>
          <w:sz w:val="28"/>
          <w:szCs w:val="28"/>
          <w:lang w:val="uk-UA"/>
        </w:rPr>
        <w:t xml:space="preserve">Процес входження України в загальноєвропейський простір потребує вдосконалення системи підготовки майбутніх учителів. Особливої значущості в цьому аспекті набувають нові підходи до професійної підготовки майбутніх учителів музики, спрямовані на формування їхнього світогляду, самостійності, творчої ініціативи, здатності до повноцінного осягнення творів музичного мистецтва. Одним із ключових умінь майбутніх учителів музики  є здатність до художньо-інтерпретаційної діяльності. Аналіз філософських праць з герменевтики таких як Г. Гадамер, В. Дільтей, П. Рікер, Г. Тульчинський, Ф. Шлейєрмахер, Г. Шпет, О. Юркевич дозволив </w:t>
      </w:r>
      <w:r w:rsidRPr="00C83B05">
        <w:rPr>
          <w:rFonts w:ascii="Times New Roman" w:hAnsi="Times New Roman"/>
          <w:spacing w:val="-4"/>
          <w:sz w:val="28"/>
          <w:szCs w:val="28"/>
          <w:lang w:val="uk-UA"/>
        </w:rPr>
        <w:t>визначити, що і</w:t>
      </w:r>
      <w:r>
        <w:rPr>
          <w:rFonts w:ascii="Times New Roman" w:hAnsi="Times New Roman"/>
          <w:color w:val="000000"/>
          <w:sz w:val="28"/>
          <w:szCs w:val="28"/>
          <w:lang w:val="uk-UA"/>
        </w:rPr>
        <w:t>нтерпретація є основним</w:t>
      </w:r>
      <w:r w:rsidRPr="00C83B05">
        <w:rPr>
          <w:rFonts w:ascii="Times New Roman" w:hAnsi="Times New Roman"/>
          <w:color w:val="000000"/>
          <w:sz w:val="28"/>
          <w:szCs w:val="28"/>
          <w:lang w:val="uk-UA"/>
        </w:rPr>
        <w:t xml:space="preserve"> вид</w:t>
      </w:r>
      <w:r>
        <w:rPr>
          <w:rFonts w:ascii="Times New Roman" w:hAnsi="Times New Roman"/>
          <w:color w:val="000000"/>
          <w:sz w:val="28"/>
          <w:szCs w:val="28"/>
          <w:lang w:val="uk-UA"/>
        </w:rPr>
        <w:t>ом</w:t>
      </w:r>
      <w:r w:rsidRPr="00C83B05">
        <w:rPr>
          <w:rFonts w:ascii="Times New Roman" w:hAnsi="Times New Roman"/>
          <w:color w:val="000000"/>
          <w:sz w:val="28"/>
          <w:szCs w:val="28"/>
          <w:lang w:val="uk-UA"/>
        </w:rPr>
        <w:t xml:space="preserve"> художньої діяльності у виконавських мистецтвах</w:t>
      </w:r>
      <w:r w:rsidRPr="00C83B05">
        <w:rPr>
          <w:rFonts w:ascii="Times New Roman" w:hAnsi="Times New Roman"/>
          <w:spacing w:val="-4"/>
          <w:sz w:val="28"/>
          <w:szCs w:val="28"/>
          <w:lang w:val="uk-UA"/>
        </w:rPr>
        <w:t>(Н. Жукова, Н. Корихалова, В. Крицький, О. Ляшенко, В. Москаленко, Г. Падалка).</w:t>
      </w:r>
      <w:r w:rsidRPr="00C83B05">
        <w:rPr>
          <w:rFonts w:ascii="Times New Roman" w:hAnsi="Times New Roman"/>
          <w:sz w:val="28"/>
          <w:szCs w:val="28"/>
          <w:lang w:val="uk-UA"/>
        </w:rPr>
        <w:t xml:space="preserve"> В.</w:t>
      </w:r>
      <w:r w:rsidRPr="00C83B05">
        <w:rPr>
          <w:rFonts w:ascii="Times New Roman" w:hAnsi="Times New Roman"/>
          <w:sz w:val="28"/>
          <w:szCs w:val="28"/>
        </w:rPr>
        <w:t> </w:t>
      </w:r>
      <w:r w:rsidRPr="00C83B05">
        <w:rPr>
          <w:rFonts w:ascii="Times New Roman" w:hAnsi="Times New Roman"/>
          <w:sz w:val="28"/>
          <w:szCs w:val="28"/>
          <w:lang w:val="uk-UA"/>
        </w:rPr>
        <w:t>Крицький розглядає діагностику уміння художньої інтерпретації як діагностику здатності до художньо-інтерпретаційної діяльності [</w:t>
      </w:r>
      <w:r>
        <w:rPr>
          <w:rFonts w:ascii="Times New Roman" w:hAnsi="Times New Roman"/>
          <w:sz w:val="28"/>
          <w:szCs w:val="28"/>
          <w:lang w:val="uk-UA"/>
        </w:rPr>
        <w:t>2, с. 8</w:t>
      </w:r>
      <w:r w:rsidRPr="00C83B05">
        <w:rPr>
          <w:rFonts w:ascii="Times New Roman" w:hAnsi="Times New Roman"/>
          <w:sz w:val="28"/>
          <w:szCs w:val="28"/>
          <w:lang w:val="uk-UA"/>
        </w:rPr>
        <w:t>].</w:t>
      </w:r>
      <w:r w:rsidRPr="00C83B05">
        <w:rPr>
          <w:rFonts w:ascii="Times New Roman" w:hAnsi="Times New Roman"/>
          <w:color w:val="000000"/>
          <w:sz w:val="28"/>
          <w:szCs w:val="28"/>
          <w:lang w:val="uk-UA"/>
        </w:rPr>
        <w:t xml:space="preserve"> На думку Г. Москаленко, </w:t>
      </w:r>
      <w:r w:rsidRPr="00C83B05">
        <w:rPr>
          <w:rFonts w:ascii="Times New Roman" w:hAnsi="Times New Roman"/>
          <w:sz w:val="28"/>
          <w:szCs w:val="28"/>
          <w:lang w:val="uk-UA"/>
        </w:rPr>
        <w:t>сутність  виконавської інтерпретації полягає в обов’язковому відтворенні результатів авторської діяльності і визначається науковцями-музикантами як нове, творче „прочитання” твору, що втілене в музичне звучання [</w:t>
      </w:r>
      <w:r>
        <w:rPr>
          <w:rFonts w:ascii="Times New Roman" w:hAnsi="Times New Roman"/>
          <w:sz w:val="28"/>
          <w:szCs w:val="28"/>
          <w:lang w:val="uk-UA"/>
        </w:rPr>
        <w:t xml:space="preserve">1, с. </w:t>
      </w:r>
      <w:r w:rsidRPr="00F515B4">
        <w:rPr>
          <w:rFonts w:ascii="Times New Roman" w:hAnsi="Times New Roman"/>
          <w:sz w:val="28"/>
          <w:szCs w:val="28"/>
          <w:lang w:val="uk-UA"/>
        </w:rPr>
        <w:t xml:space="preserve"> 9</w:t>
      </w:r>
      <w:r w:rsidRPr="00C83B05">
        <w:rPr>
          <w:rFonts w:ascii="Times New Roman" w:hAnsi="Times New Roman"/>
          <w:sz w:val="28"/>
          <w:szCs w:val="28"/>
          <w:lang w:val="uk-UA"/>
        </w:rPr>
        <w:t>].</w:t>
      </w:r>
    </w:p>
    <w:p w:rsidR="009F4D0E" w:rsidRDefault="009F4D0E" w:rsidP="009001E8">
      <w:pPr>
        <w:spacing w:after="100" w:afterAutospacing="1" w:line="360" w:lineRule="auto"/>
        <w:ind w:left="113" w:right="113" w:firstLine="567"/>
        <w:jc w:val="both"/>
        <w:rPr>
          <w:rFonts w:ascii="Times New Roman" w:hAnsi="Times New Roman"/>
          <w:sz w:val="28"/>
          <w:szCs w:val="28"/>
          <w:lang w:val="uk-UA"/>
        </w:rPr>
      </w:pPr>
      <w:r w:rsidRPr="00C83B05">
        <w:rPr>
          <w:rFonts w:ascii="Times New Roman" w:hAnsi="Times New Roman"/>
          <w:sz w:val="28"/>
          <w:szCs w:val="28"/>
          <w:lang w:val="uk-UA"/>
        </w:rPr>
        <w:t xml:space="preserve">Вивчення психолого-педагогічних досліджень щодо сутності поняття «уміння» надає підстави розглядати його як здатність до певної діяльності, що визначається обсягом та змістом набутих знань, сформованістю відповідних навичок та здатністю їх застосування у відповідності до мети діяльності (Ю. Бабанський, С. Гончаренко, В. Крицький, Є. Мілерян). Конкретизація цього положення в контексті дослідження інтерпретаційних умінь майбутніх учителів музики  дозволило визначити поняття «інтерпретаційні уміння» як здатність особистості до осмислення, розуміння та передачі художнього змісту музичного твору у власному виконанні. </w:t>
      </w:r>
    </w:p>
    <w:p w:rsidR="009F4D0E" w:rsidRDefault="009F4D0E" w:rsidP="009001E8">
      <w:pPr>
        <w:spacing w:after="100" w:afterAutospacing="1" w:line="360" w:lineRule="auto"/>
        <w:ind w:left="113" w:right="113" w:firstLine="709"/>
        <w:jc w:val="both"/>
        <w:rPr>
          <w:rFonts w:ascii="Times New Roman" w:hAnsi="Times New Roman"/>
          <w:sz w:val="28"/>
          <w:szCs w:val="28"/>
          <w:lang w:val="uk-UA"/>
        </w:rPr>
      </w:pPr>
      <w:r w:rsidRPr="00B94098">
        <w:rPr>
          <w:rFonts w:ascii="Times New Roman" w:hAnsi="Times New Roman"/>
          <w:sz w:val="28"/>
          <w:szCs w:val="28"/>
          <w:lang w:val="uk-UA"/>
        </w:rPr>
        <w:t>Необхідним компонентом фахового становлення майбутнього вчителя школи визнано його фортепіанну підготовку, завдання якої полягають у збагаченні, розширенні художньої компетентності студентів, формуванні естетичного сприймання образів мистецтва, розвитку здатності до творчої самореалізації в процесі інтерпретації музики (Л.Арчажнікова, Г.</w:t>
      </w:r>
      <w:r>
        <w:rPr>
          <w:rFonts w:ascii="Times New Roman" w:hAnsi="Times New Roman"/>
          <w:sz w:val="28"/>
          <w:szCs w:val="28"/>
          <w:lang w:val="uk-UA"/>
        </w:rPr>
        <w:t xml:space="preserve"> Падалка,</w:t>
      </w:r>
      <w:r w:rsidRPr="00B94098">
        <w:rPr>
          <w:rFonts w:ascii="Times New Roman" w:hAnsi="Times New Roman"/>
          <w:sz w:val="28"/>
          <w:szCs w:val="28"/>
          <w:lang w:val="uk-UA"/>
        </w:rPr>
        <w:t xml:space="preserve"> О.Рудницька). Музично-виконавська підготовка майбутнього вчителя музики характеризується переважно індивідуальною формою навчання, тому найактивніший вплив на формування інтерпретаційних умінь  здійснюється в процесі  індивідуальних занять з фаху, на яких, як зазначає О.</w:t>
      </w:r>
      <w:r w:rsidRPr="00B94098">
        <w:rPr>
          <w:rFonts w:ascii="Times New Roman" w:hAnsi="Times New Roman"/>
          <w:sz w:val="28"/>
          <w:szCs w:val="28"/>
          <w:lang w:val="en-US"/>
        </w:rPr>
        <w:t> </w:t>
      </w:r>
      <w:r w:rsidRPr="00B94098">
        <w:rPr>
          <w:rFonts w:ascii="Times New Roman" w:hAnsi="Times New Roman"/>
          <w:sz w:val="28"/>
          <w:szCs w:val="28"/>
          <w:lang w:val="uk-UA"/>
        </w:rPr>
        <w:t>Олексюк, «застосовуються різні прийоми впливу та активні методи навчання» [</w:t>
      </w:r>
      <w:r>
        <w:rPr>
          <w:rFonts w:ascii="Times New Roman" w:hAnsi="Times New Roman"/>
          <w:kern w:val="1"/>
          <w:sz w:val="28"/>
          <w:szCs w:val="28"/>
          <w:lang w:val="uk-UA"/>
        </w:rPr>
        <w:t xml:space="preserve">3, </w:t>
      </w:r>
      <w:r w:rsidRPr="00B94098">
        <w:rPr>
          <w:rFonts w:ascii="Times New Roman" w:hAnsi="Times New Roman"/>
          <w:sz w:val="28"/>
          <w:szCs w:val="28"/>
          <w:lang w:val="uk-UA"/>
        </w:rPr>
        <w:t xml:space="preserve">с.100]. </w:t>
      </w:r>
    </w:p>
    <w:p w:rsidR="009F4D0E" w:rsidRDefault="009F4D0E" w:rsidP="009001E8">
      <w:pPr>
        <w:spacing w:after="100" w:afterAutospacing="1" w:line="360" w:lineRule="auto"/>
        <w:ind w:left="113" w:right="113" w:firstLine="709"/>
        <w:jc w:val="both"/>
        <w:rPr>
          <w:rFonts w:ascii="Times New Roman" w:hAnsi="Times New Roman"/>
          <w:sz w:val="28"/>
          <w:szCs w:val="28"/>
          <w:lang w:val="uk-UA"/>
        </w:rPr>
      </w:pPr>
      <w:r w:rsidRPr="00B94098">
        <w:rPr>
          <w:rFonts w:ascii="Times New Roman" w:hAnsi="Times New Roman"/>
          <w:sz w:val="28"/>
          <w:szCs w:val="28"/>
          <w:lang w:val="uk-UA"/>
        </w:rPr>
        <w:t xml:space="preserve">Грунтуючись на здобутках світової виконавсько-педагогічної школи (Ф.Бузоні, Й.Гат, К.Мартінсен, Г.Нейгауз) та методико-практичних </w:t>
      </w:r>
      <w:r>
        <w:rPr>
          <w:rFonts w:ascii="Times New Roman" w:hAnsi="Times New Roman"/>
          <w:sz w:val="28"/>
          <w:szCs w:val="28"/>
          <w:lang w:val="uk-UA"/>
        </w:rPr>
        <w:t xml:space="preserve">здобутках </w:t>
      </w:r>
      <w:r w:rsidRPr="00B94098">
        <w:rPr>
          <w:rFonts w:ascii="Times New Roman" w:hAnsi="Times New Roman"/>
          <w:sz w:val="28"/>
          <w:szCs w:val="28"/>
          <w:lang w:val="uk-UA"/>
        </w:rPr>
        <w:t>вітчизняних педагогів-музикантів (О.Александров, Ф.Блуменфельд, К.Михайлов, В.Пухальський), наукова думка в галузі теорії і методики навчання музики за останні роки окреслила такі суттєві напрямки виконавсько-інструментальної підготовки як розвиток соціальної активності, формування гуманістичних ціннісних орієнтацій у процесі інструментального навчання (О.Гданська), психологічні основи формування у студентів навичок гри на музичному інструменті (Н.Рубан), формування виконавської надійності майбутніх учителів школи (Д.Юник), активізація творчої самостійності студентів-піаністів (І.Бобакова), формування умінь художньої інтерпретації музики ( В.Крицький, Г.Саїк).</w:t>
      </w:r>
    </w:p>
    <w:p w:rsidR="009F4D0E" w:rsidRDefault="009F4D0E" w:rsidP="009001E8">
      <w:pPr>
        <w:spacing w:after="100" w:afterAutospacing="1" w:line="360" w:lineRule="auto"/>
        <w:ind w:left="113" w:right="113" w:firstLine="709"/>
        <w:jc w:val="both"/>
        <w:rPr>
          <w:rFonts w:ascii="Times New Roman" w:hAnsi="Times New Roman"/>
          <w:sz w:val="28"/>
          <w:szCs w:val="28"/>
          <w:lang w:val="uk-UA"/>
        </w:rPr>
      </w:pPr>
      <w:r w:rsidRPr="00B94098">
        <w:rPr>
          <w:rFonts w:ascii="Times New Roman" w:hAnsi="Times New Roman"/>
          <w:sz w:val="28"/>
          <w:szCs w:val="28"/>
          <w:lang w:val="uk-UA"/>
        </w:rPr>
        <w:t>Специфіка підготовки майбутніх вчителів музики з дисциплін інструментального циклу визначається складністю такої діяльності, різноманітністю форм, пов'язаних з грою на музичному інструменті. Всі завдання виконавської діяльності сприяють створенню самостійної інтерпретації музичних творів в умовах публічного сценічного виступу. Інтерпретація виникає внаслідок самостійного переосмислення продукту первинного художньої творчості і є своєрідним показником досягнень виконавця. Вчителю музики, діяльність якого полягає у створенні оригінального трактування твору, вона дозволяє якісно вести навчальну та позакласну роботу, дозволяє вдосконалити свої професійні, особистісні якості, формувати в собі музично-виконавську культуру [</w:t>
      </w:r>
      <w:r>
        <w:rPr>
          <w:rFonts w:ascii="Times New Roman" w:hAnsi="Times New Roman"/>
          <w:sz w:val="28"/>
          <w:szCs w:val="28"/>
          <w:lang w:val="uk-UA"/>
        </w:rPr>
        <w:t>5, с.10</w:t>
      </w:r>
      <w:r w:rsidRPr="00B94098">
        <w:rPr>
          <w:rFonts w:ascii="Times New Roman" w:hAnsi="Times New Roman"/>
          <w:sz w:val="28"/>
          <w:szCs w:val="28"/>
          <w:lang w:val="uk-UA"/>
        </w:rPr>
        <w:t>].</w:t>
      </w:r>
    </w:p>
    <w:p w:rsidR="009F4D0E" w:rsidRPr="00C56977" w:rsidRDefault="009F4D0E" w:rsidP="009001E8">
      <w:pPr>
        <w:pStyle w:val="a0"/>
        <w:spacing w:after="100" w:afterAutospacing="1"/>
        <w:ind w:left="113" w:right="113" w:firstLine="0"/>
        <w:jc w:val="both"/>
      </w:pPr>
      <w:r>
        <w:t xml:space="preserve">Формування інтерпретаційних умінь у класі фортепіано не обмежується лише сольним виконавством. Студенти також виступають у ролі концертмейстера. Студенти повинні вміти </w:t>
      </w:r>
      <w:r w:rsidRPr="00F80A0D">
        <w:t xml:space="preserve"> здійснювати аналіз вокально-інструментальних творів; доносити власний варіант трактування музично-ансамблевого зразка співвиконавцеві; взаємоузгоджувати його з трактовкою співвиконавця; забезпечувати виконавський ансамбль; фокусувати слух на основі здатності до розподілення уваги; поєднувати сольну </w:t>
      </w:r>
      <w:r>
        <w:t>партію з партією акомпанементу. Студенти музичних факультетів як майбутні вчителі музики в процесі навчання гри на фортепіано повинні набути такі професійно-значущі  концертмейстерські</w:t>
      </w:r>
      <w:r w:rsidRPr="009C7C89">
        <w:t xml:space="preserve"> вміння</w:t>
      </w:r>
      <w:r>
        <w:t>, як</w:t>
      </w:r>
      <w:r w:rsidRPr="009C7C89">
        <w:t xml:space="preserve">:акомпанувати дитячому хору-класу з елементами керування співу засобами диригентської техніки; акомпанувати шкільним хоровим колективам, вокальним ансамблям, солістам (під час позакласної музично-гурткової роботи); акомпанувати власному співу; читати з аркуша; транспонувати; добирати на слух мелодію й акомпанемент до неї; </w:t>
      </w:r>
      <w:r w:rsidRPr="00BA4DB9">
        <w:t>д</w:t>
      </w:r>
      <w:r w:rsidRPr="009C7C89">
        <w:t>обирати фактурну формулу супроводу, адекватну характеру мелодії й жанру вокально-інструментальн</w:t>
      </w:r>
      <w:r w:rsidRPr="00BA4DB9">
        <w:t>ого</w:t>
      </w:r>
      <w:r>
        <w:t>твору; вербально презентувати</w:t>
      </w:r>
      <w:r w:rsidRPr="009C7C89">
        <w:t xml:space="preserve"> зміст вокально-інструментальн</w:t>
      </w:r>
      <w:r w:rsidRPr="00BA4DB9">
        <w:t>ого</w:t>
      </w:r>
      <w:r>
        <w:t xml:space="preserve">твору для дітей </w:t>
      </w:r>
      <w:r w:rsidRPr="00C56977">
        <w:t>[</w:t>
      </w:r>
      <w:r>
        <w:t>4, с. 78</w:t>
      </w:r>
      <w:r w:rsidRPr="00C56977">
        <w:t>].</w:t>
      </w:r>
    </w:p>
    <w:p w:rsidR="009F4D0E" w:rsidRPr="00B94098" w:rsidRDefault="009F4D0E" w:rsidP="009001E8">
      <w:pPr>
        <w:spacing w:after="100" w:afterAutospacing="1" w:line="360" w:lineRule="auto"/>
        <w:ind w:left="113" w:right="113" w:firstLine="709"/>
        <w:jc w:val="both"/>
        <w:rPr>
          <w:rFonts w:ascii="Times New Roman" w:hAnsi="Times New Roman"/>
          <w:sz w:val="28"/>
          <w:szCs w:val="28"/>
          <w:lang w:val="uk-UA"/>
        </w:rPr>
      </w:pPr>
      <w:r>
        <w:rPr>
          <w:rFonts w:ascii="Times New Roman" w:hAnsi="Times New Roman"/>
          <w:sz w:val="28"/>
          <w:szCs w:val="28"/>
          <w:lang w:val="uk-UA"/>
        </w:rPr>
        <w:t xml:space="preserve">Отже,  підготовка майбутнього вчителя музики у класі фортепіано має комплексний характер. Він повинен володіти інтерпретаційними уміннями як  у ролі сольного виконавця, так і у ролі концертмейстера. </w:t>
      </w:r>
      <w:r w:rsidRPr="00B94098">
        <w:rPr>
          <w:rFonts w:ascii="Times New Roman" w:hAnsi="Times New Roman"/>
          <w:sz w:val="28"/>
          <w:szCs w:val="28"/>
          <w:lang w:val="uk-UA"/>
        </w:rPr>
        <w:t>Процес формування інтерпретаційних умінь в процесі фортепіанної підготовки має носити творчий характер і орієнтувати на діяльнісний кінцевий результат – сформовану на високому рівні готовність майбутнього вчителя до музично-педагогічної діяльності.</w:t>
      </w:r>
    </w:p>
    <w:p w:rsidR="009F4D0E" w:rsidRPr="00C83B05" w:rsidRDefault="009F4D0E" w:rsidP="009001E8">
      <w:pPr>
        <w:spacing w:after="100" w:afterAutospacing="1" w:line="360" w:lineRule="auto"/>
        <w:ind w:left="113" w:right="113"/>
        <w:jc w:val="both"/>
        <w:rPr>
          <w:rFonts w:ascii="Times New Roman" w:hAnsi="Times New Roman"/>
          <w:sz w:val="28"/>
          <w:szCs w:val="28"/>
          <w:lang w:val="uk-UA"/>
        </w:rPr>
      </w:pPr>
      <w:r>
        <w:rPr>
          <w:rFonts w:ascii="Times New Roman" w:hAnsi="Times New Roman"/>
          <w:sz w:val="28"/>
          <w:szCs w:val="28"/>
          <w:lang w:val="uk-UA"/>
        </w:rPr>
        <w:t>Критеріями</w:t>
      </w:r>
      <w:r w:rsidRPr="00C83B05">
        <w:rPr>
          <w:rFonts w:ascii="Times New Roman" w:hAnsi="Times New Roman"/>
          <w:sz w:val="28"/>
          <w:szCs w:val="28"/>
          <w:lang w:val="uk-UA"/>
        </w:rPr>
        <w:t xml:space="preserve"> інтерпретаційних умінь майбутніх учителів музики у класі фортепіано</w:t>
      </w:r>
      <w:r>
        <w:rPr>
          <w:rFonts w:ascii="Times New Roman" w:hAnsi="Times New Roman"/>
          <w:sz w:val="28"/>
          <w:szCs w:val="28"/>
          <w:lang w:val="uk-UA"/>
        </w:rPr>
        <w:t xml:space="preserve"> виступили </w:t>
      </w:r>
      <w:r w:rsidRPr="00C83B05">
        <w:rPr>
          <w:rFonts w:ascii="Times New Roman" w:hAnsi="Times New Roman"/>
          <w:noProof/>
          <w:spacing w:val="-10"/>
          <w:sz w:val="28"/>
          <w:szCs w:val="28"/>
          <w:lang w:val="uk-UA"/>
        </w:rPr>
        <w:t xml:space="preserve">мотиваційно-емоційний, </w:t>
      </w:r>
      <w:r w:rsidRPr="00C83B05">
        <w:rPr>
          <w:rFonts w:ascii="Times New Roman" w:hAnsi="Times New Roman"/>
          <w:sz w:val="28"/>
          <w:szCs w:val="28"/>
          <w:lang w:val="uk-UA"/>
        </w:rPr>
        <w:t xml:space="preserve">когнітивно-операційний та </w:t>
      </w:r>
      <w:r w:rsidRPr="00C83B05">
        <w:rPr>
          <w:rFonts w:ascii="Times New Roman" w:hAnsi="Times New Roman"/>
          <w:noProof/>
          <w:sz w:val="28"/>
          <w:szCs w:val="28"/>
          <w:lang w:val="uk-UA"/>
        </w:rPr>
        <w:t>творчо-виконавський.</w:t>
      </w:r>
      <w:r w:rsidRPr="00AA1841">
        <w:rPr>
          <w:rFonts w:ascii="Times New Roman" w:hAnsi="Times New Roman"/>
          <w:noProof/>
          <w:spacing w:val="-10"/>
          <w:sz w:val="28"/>
          <w:szCs w:val="28"/>
          <w:lang w:val="uk-UA"/>
        </w:rPr>
        <w:t>Мотиваційно-емоційний критерій</w:t>
      </w:r>
      <w:r w:rsidRPr="00C83B05">
        <w:rPr>
          <w:rFonts w:ascii="Times New Roman" w:hAnsi="Times New Roman"/>
          <w:noProof/>
          <w:spacing w:val="-10"/>
          <w:sz w:val="28"/>
          <w:szCs w:val="28"/>
          <w:lang w:val="uk-UA"/>
        </w:rPr>
        <w:t xml:space="preserve"> характеризувався рівнем сформованості</w:t>
      </w:r>
      <w:r w:rsidRPr="00C83B05">
        <w:rPr>
          <w:rFonts w:ascii="Times New Roman" w:hAnsi="Times New Roman"/>
          <w:noProof/>
          <w:sz w:val="28"/>
          <w:szCs w:val="28"/>
          <w:lang w:val="uk-UA"/>
        </w:rPr>
        <w:t xml:space="preserve"> позитивного мотиваційно-емоційного ставлення до навчання гри на фортепіано та здатністю емпатійного проникнення в художній образ фортепіанних творів. Показниками даного критерію виступили: наявність у студентів інтересу до </w:t>
      </w:r>
      <w:r w:rsidRPr="00C83B05">
        <w:rPr>
          <w:rFonts w:ascii="Times New Roman" w:hAnsi="Times New Roman"/>
          <w:sz w:val="28"/>
          <w:szCs w:val="28"/>
          <w:lang w:val="uk-UA"/>
        </w:rPr>
        <w:t>набуття інтерпретаційних умінь</w:t>
      </w:r>
      <w:r w:rsidRPr="00C83B05">
        <w:rPr>
          <w:rFonts w:ascii="Times New Roman" w:hAnsi="Times New Roman"/>
          <w:noProof/>
          <w:sz w:val="28"/>
          <w:szCs w:val="28"/>
          <w:lang w:val="uk-UA"/>
        </w:rPr>
        <w:t>; здатність щодо емоційного переживання творів фортепіанного мистецтва; потреба у самовдосконаленні в процесі виконавської діяльності.</w:t>
      </w:r>
      <w:r w:rsidRPr="00AA1841">
        <w:rPr>
          <w:rFonts w:ascii="Times New Roman" w:hAnsi="Times New Roman"/>
          <w:sz w:val="28"/>
          <w:szCs w:val="28"/>
          <w:lang w:val="uk-UA"/>
        </w:rPr>
        <w:t>Когнітивно-операційний критерій</w:t>
      </w:r>
      <w:r w:rsidRPr="00C83B05">
        <w:rPr>
          <w:rFonts w:ascii="Times New Roman" w:hAnsi="Times New Roman"/>
          <w:noProof/>
          <w:sz w:val="28"/>
          <w:szCs w:val="28"/>
          <w:lang w:val="uk-UA"/>
        </w:rPr>
        <w:t xml:space="preserve">передбачав наявність спеціальних знань(загальнокультурних, психолого-педагогічних, методичних, знань основ фортепіанної педагогіки: особливостей  звуковидобування, артикуляції, тощо); вміння оперувати прийомами інтерпритації фортепіанних творів. </w:t>
      </w:r>
      <w:r w:rsidRPr="00C83B05">
        <w:rPr>
          <w:rFonts w:ascii="Times New Roman" w:hAnsi="Times New Roman"/>
          <w:sz w:val="28"/>
          <w:szCs w:val="28"/>
          <w:lang w:val="uk-UA"/>
        </w:rPr>
        <w:t>Цей критерій характеризують наступні показники:</w:t>
      </w:r>
      <w:r w:rsidRPr="00C83B05">
        <w:rPr>
          <w:rFonts w:ascii="Times New Roman" w:hAnsi="Times New Roman"/>
          <w:noProof/>
          <w:sz w:val="28"/>
          <w:szCs w:val="28"/>
          <w:lang w:val="uk-UA"/>
        </w:rPr>
        <w:t xml:space="preserve"> обсяг знань у галузі фортепіанного мистецтва;</w:t>
      </w:r>
      <w:r w:rsidRPr="00C83B05">
        <w:rPr>
          <w:rStyle w:val="fontstyle28"/>
          <w:noProof/>
          <w:color w:val="000000"/>
          <w:sz w:val="28"/>
          <w:szCs w:val="28"/>
          <w:lang w:val="uk-UA"/>
        </w:rPr>
        <w:t xml:space="preserve">володіння  </w:t>
      </w:r>
      <w:r w:rsidRPr="00C83B05">
        <w:rPr>
          <w:rFonts w:ascii="Times New Roman" w:hAnsi="Times New Roman"/>
          <w:noProof/>
          <w:sz w:val="28"/>
          <w:szCs w:val="28"/>
          <w:lang w:val="uk-UA"/>
        </w:rPr>
        <w:t>різними прийомами звуковедення, звукодобування, артикуляції;</w:t>
      </w:r>
      <w:r w:rsidRPr="00C83B05">
        <w:rPr>
          <w:rStyle w:val="9"/>
          <w:noProof/>
          <w:sz w:val="28"/>
          <w:szCs w:val="28"/>
          <w:lang w:val="uk-UA"/>
        </w:rPr>
        <w:t xml:space="preserve"> здатність до </w:t>
      </w:r>
      <w:r w:rsidRPr="00C83B05">
        <w:rPr>
          <w:rFonts w:ascii="Times New Roman" w:hAnsi="Times New Roman"/>
          <w:sz w:val="28"/>
          <w:szCs w:val="28"/>
          <w:lang w:val="uk-UA"/>
        </w:rPr>
        <w:t>аналізу музичного твору та його інтерпретації.</w:t>
      </w:r>
      <w:r w:rsidRPr="00AA1841">
        <w:rPr>
          <w:rFonts w:ascii="Times New Roman" w:hAnsi="Times New Roman"/>
          <w:noProof/>
          <w:sz w:val="28"/>
          <w:szCs w:val="28"/>
          <w:lang w:val="uk-UA"/>
        </w:rPr>
        <w:t xml:space="preserve">Творчо-виконавський </w:t>
      </w:r>
      <w:r w:rsidRPr="00AA1841">
        <w:rPr>
          <w:rFonts w:ascii="Times New Roman" w:hAnsi="Times New Roman"/>
          <w:sz w:val="28"/>
          <w:szCs w:val="28"/>
          <w:lang w:val="uk-UA"/>
        </w:rPr>
        <w:t>критерій</w:t>
      </w:r>
      <w:r w:rsidRPr="00C83B05">
        <w:rPr>
          <w:rFonts w:ascii="Times New Roman" w:hAnsi="Times New Roman"/>
          <w:sz w:val="28"/>
          <w:szCs w:val="28"/>
          <w:lang w:val="uk-UA"/>
        </w:rPr>
        <w:t>передбачає здатність до самостійної творчої виконавської діяльності, побудову та емоційну реалізацію власної художньої концепції музичного твору та полягає в самооцінюванні студентами своєї готовності до майбутньої музично-педагогічної діяльності.</w:t>
      </w:r>
      <w:r>
        <w:rPr>
          <w:rFonts w:ascii="Times New Roman" w:hAnsi="Times New Roman"/>
          <w:sz w:val="28"/>
          <w:szCs w:val="28"/>
          <w:lang w:val="uk-UA"/>
        </w:rPr>
        <w:t xml:space="preserve"> </w:t>
      </w:r>
      <w:r w:rsidRPr="00C83B05">
        <w:rPr>
          <w:rStyle w:val="9"/>
          <w:noProof/>
          <w:sz w:val="28"/>
          <w:szCs w:val="28"/>
          <w:lang w:val="uk-UA"/>
        </w:rPr>
        <w:t>Показниками</w:t>
      </w:r>
      <w:r>
        <w:rPr>
          <w:rStyle w:val="9"/>
          <w:noProof/>
          <w:sz w:val="28"/>
          <w:szCs w:val="28"/>
          <w:lang w:val="uk-UA"/>
        </w:rPr>
        <w:t xml:space="preserve"> </w:t>
      </w:r>
      <w:r w:rsidRPr="00C83B05">
        <w:rPr>
          <w:rFonts w:ascii="Times New Roman" w:hAnsi="Times New Roman"/>
          <w:noProof/>
          <w:sz w:val="28"/>
          <w:szCs w:val="28"/>
          <w:lang w:val="uk-UA"/>
        </w:rPr>
        <w:t xml:space="preserve">творчо-виконавського критерію було визначено  здатність до творчої інтерпретації  фортепіанного твору відповідно до задуму автора; </w:t>
      </w:r>
      <w:r w:rsidRPr="00C83B05">
        <w:rPr>
          <w:rFonts w:ascii="Times New Roman" w:hAnsi="Times New Roman"/>
          <w:sz w:val="28"/>
          <w:szCs w:val="28"/>
          <w:lang w:val="uk-UA"/>
        </w:rPr>
        <w:t>вміння адекватно аналізувати та оцінити рівень власного виконання та виконання інших;</w:t>
      </w:r>
      <w:r w:rsidRPr="00C83B05">
        <w:rPr>
          <w:rFonts w:ascii="Times New Roman" w:hAnsi="Times New Roman"/>
          <w:noProof/>
          <w:sz w:val="28"/>
          <w:szCs w:val="28"/>
          <w:lang w:val="uk-UA"/>
        </w:rPr>
        <w:t xml:space="preserve"> готовність до виступу перед учнівською аудиторією (уміння триматися на сцені, яскраво презентувати музичний твір учням різного віку, здатність супроводжувати виконавство твору відповідними коментарями).</w:t>
      </w:r>
    </w:p>
    <w:p w:rsidR="009F4D0E" w:rsidRPr="00C83B05" w:rsidRDefault="009F4D0E" w:rsidP="009001E8">
      <w:pPr>
        <w:spacing w:after="100" w:afterAutospacing="1" w:line="360" w:lineRule="auto"/>
        <w:ind w:left="113" w:right="113" w:firstLine="567"/>
        <w:jc w:val="both"/>
        <w:rPr>
          <w:rFonts w:ascii="Times New Roman" w:hAnsi="Times New Roman"/>
          <w:sz w:val="28"/>
          <w:szCs w:val="28"/>
          <w:lang w:val="uk-UA"/>
        </w:rPr>
      </w:pPr>
      <w:r w:rsidRPr="00C83B05">
        <w:rPr>
          <w:rFonts w:ascii="Times New Roman" w:hAnsi="Times New Roman"/>
          <w:noProof/>
          <w:sz w:val="28"/>
          <w:szCs w:val="28"/>
          <w:lang w:val="uk-UA"/>
        </w:rPr>
        <w:t xml:space="preserve">Таким чином, визначені критерії </w:t>
      </w:r>
      <w:r w:rsidRPr="00C83B05">
        <w:rPr>
          <w:rFonts w:ascii="Times New Roman" w:hAnsi="Times New Roman"/>
          <w:sz w:val="28"/>
          <w:szCs w:val="28"/>
          <w:lang w:val="uk-UA"/>
        </w:rPr>
        <w:t>інтерпретаційних умінь майбутніх учителів музики  значно сприяють фаховій підготовці студентів, розширенню їхніх уявлень про стильові, образні особливості музичних творів, особливості їх інтерпретації і виконавських засобах в класі фортепіано та є підґрунтям для професійного розвитку  майбутніх вчителів музики.</w:t>
      </w:r>
    </w:p>
    <w:p w:rsidR="009F4D0E" w:rsidRPr="00B6713E" w:rsidRDefault="009F4D0E" w:rsidP="00631AA4">
      <w:pPr>
        <w:spacing w:after="0" w:line="360" w:lineRule="auto"/>
        <w:ind w:left="113" w:right="113"/>
        <w:rPr>
          <w:rFonts w:ascii="Times New Roman" w:hAnsi="Times New Roman"/>
          <w:b/>
          <w:color w:val="000000"/>
          <w:sz w:val="28"/>
          <w:szCs w:val="28"/>
          <w:lang w:val="uk-UA"/>
        </w:rPr>
      </w:pPr>
      <w:r w:rsidRPr="00C56977">
        <w:rPr>
          <w:rFonts w:ascii="Times New Roman" w:hAnsi="Times New Roman"/>
          <w:b/>
          <w:color w:val="000000"/>
          <w:sz w:val="28"/>
          <w:szCs w:val="28"/>
          <w:lang w:val="uk-UA"/>
        </w:rPr>
        <w:t>Література:</w:t>
      </w:r>
    </w:p>
    <w:p w:rsidR="009F4D0E" w:rsidRPr="006E6469" w:rsidRDefault="009F4D0E" w:rsidP="009001E8">
      <w:pPr>
        <w:pStyle w:val="a2"/>
        <w:numPr>
          <w:ilvl w:val="0"/>
          <w:numId w:val="8"/>
        </w:numPr>
        <w:ind w:left="113" w:right="113"/>
      </w:pPr>
      <w:r w:rsidRPr="00C83B05">
        <w:t>Москаленко В. Г. Музичний твір як текст / В. Г. Москаленко // Текст музичного твору: практика і теорія : зб. ст. / В. Г. Москаленко. – Вип. 7. – Київ, 2001. – С. 3 – 9.</w:t>
      </w:r>
    </w:p>
    <w:p w:rsidR="009F4D0E" w:rsidRDefault="009F4D0E" w:rsidP="009001E8">
      <w:pPr>
        <w:pStyle w:val="a0"/>
        <w:numPr>
          <w:ilvl w:val="0"/>
          <w:numId w:val="8"/>
        </w:numPr>
        <w:ind w:left="113" w:right="113"/>
      </w:pPr>
      <w:r w:rsidRPr="001D06A4">
        <w:t>Крицький В. М. Формування уміння художньої інтерпретації у студентів музичних факультетів педагогі</w:t>
      </w:r>
      <w:r>
        <w:t>чних закладів вищої освіти : автореф</w:t>
      </w:r>
      <w:r w:rsidRPr="001D06A4">
        <w:t>.</w:t>
      </w:r>
      <w:r>
        <w:t xml:space="preserve"> дис. </w:t>
      </w:r>
      <w:r w:rsidRPr="001D06A4">
        <w:t xml:space="preserve"> ..</w:t>
      </w:r>
      <w:r>
        <w:t xml:space="preserve">. канд. пед. наук :13.00.01 / В. М. Крицький . – К., 1999. – 25 </w:t>
      </w:r>
      <w:r w:rsidRPr="001D06A4">
        <w:t xml:space="preserve"> с.</w:t>
      </w:r>
    </w:p>
    <w:p w:rsidR="009F4D0E" w:rsidRDefault="009F4D0E" w:rsidP="009001E8">
      <w:pPr>
        <w:pStyle w:val="a0"/>
        <w:numPr>
          <w:ilvl w:val="0"/>
          <w:numId w:val="8"/>
        </w:numPr>
        <w:ind w:left="113" w:right="113"/>
      </w:pPr>
      <w:r w:rsidRPr="00900314">
        <w:t xml:space="preserve">Олексюк О. М. Музична педагогіка : навч. посіб. / О.М. </w:t>
      </w:r>
      <w:r>
        <w:t xml:space="preserve">Олексюк. </w:t>
      </w:r>
      <w:r w:rsidRPr="00900314">
        <w:t xml:space="preserve"> – К., 2006. – 188</w:t>
      </w:r>
      <w:r w:rsidRPr="00FC1886">
        <w:rPr>
          <w:lang w:val="ru-RU"/>
        </w:rPr>
        <w:t> </w:t>
      </w:r>
      <w:r>
        <w:t>с.</w:t>
      </w:r>
    </w:p>
    <w:p w:rsidR="009F4D0E" w:rsidRDefault="009F4D0E" w:rsidP="009001E8">
      <w:pPr>
        <w:pStyle w:val="3"/>
        <w:numPr>
          <w:ilvl w:val="0"/>
          <w:numId w:val="8"/>
        </w:numPr>
        <w:spacing w:line="360" w:lineRule="auto"/>
        <w:ind w:left="113" w:right="113"/>
      </w:pPr>
      <w:r w:rsidRPr="00262414">
        <w:t>Петренко М. Б. Стан сформованості інтерпретаційних умінь майбутніх учителів музики у процесі концертмейстерської підготовки: досвід</w:t>
      </w:r>
      <w:r>
        <w:t xml:space="preserve"> експериментального дослідження</w:t>
      </w:r>
      <w:r w:rsidRPr="00262414">
        <w:t>/ Марина Петренко // Молодь і ринок: Щомісячний науково-педагогічний журнал, № 7 (78) липень 2011 р. – Дрогобич, 2011. – С. 76 – 80.</w:t>
      </w:r>
    </w:p>
    <w:p w:rsidR="009F4D0E" w:rsidRPr="00C56977" w:rsidRDefault="009F4D0E" w:rsidP="009001E8">
      <w:pPr>
        <w:pStyle w:val="3"/>
        <w:numPr>
          <w:ilvl w:val="0"/>
          <w:numId w:val="8"/>
        </w:numPr>
        <w:spacing w:line="360" w:lineRule="auto"/>
        <w:ind w:left="113" w:right="113"/>
      </w:pPr>
      <w:r w:rsidRPr="00C56977">
        <w:t>Програма «Основний музичний інструмент (фортепіано) для спеціальності  8.02020401 «Музичне мистецтво</w:t>
      </w:r>
      <w:r>
        <w:t xml:space="preserve">» / ПНПУ імені К.Д. Ушинського. </w:t>
      </w:r>
      <w:r w:rsidRPr="00262414">
        <w:t>–</w:t>
      </w:r>
      <w:r w:rsidRPr="00C56977">
        <w:t xml:space="preserve"> Одеса, 2015. – 16 с.</w:t>
      </w:r>
    </w:p>
    <w:p w:rsidR="009F4D0E" w:rsidRDefault="009F4D0E" w:rsidP="009001E8">
      <w:pPr>
        <w:pStyle w:val="a0"/>
        <w:ind w:left="113" w:right="113"/>
        <w:jc w:val="right"/>
        <w:rPr>
          <w:b/>
        </w:rPr>
      </w:pPr>
      <w:r w:rsidRPr="00F86B1E">
        <w:rPr>
          <w:b/>
        </w:rPr>
        <w:t>Науковий керівник:</w:t>
      </w:r>
    </w:p>
    <w:p w:rsidR="009F4D0E" w:rsidRDefault="009F4D0E" w:rsidP="009001E8">
      <w:pPr>
        <w:pStyle w:val="a0"/>
        <w:ind w:left="113" w:right="113"/>
        <w:jc w:val="right"/>
      </w:pPr>
      <w:r>
        <w:t xml:space="preserve">Кандидат педагогічних </w:t>
      </w:r>
      <w:r w:rsidRPr="004C3F25">
        <w:t>наук</w:t>
      </w:r>
      <w:r>
        <w:t>,</w:t>
      </w:r>
      <w:r w:rsidRPr="004C3F25">
        <w:t xml:space="preserve"> доцент Горожанкіна О.Ю.</w:t>
      </w:r>
    </w:p>
    <w:p w:rsidR="009F4D0E" w:rsidRDefault="009F4D0E" w:rsidP="001628FF">
      <w:pPr>
        <w:pStyle w:val="a0"/>
        <w:jc w:val="right"/>
      </w:pPr>
    </w:p>
    <w:p w:rsidR="009F4D0E" w:rsidRDefault="009F4D0E" w:rsidP="00F86B1E">
      <w:pPr>
        <w:pStyle w:val="a0"/>
        <w:jc w:val="right"/>
      </w:pPr>
    </w:p>
    <w:p w:rsidR="009F4D0E" w:rsidRDefault="009F4D0E" w:rsidP="00F86B1E">
      <w:pPr>
        <w:pStyle w:val="a0"/>
      </w:pPr>
    </w:p>
    <w:p w:rsidR="009F4D0E" w:rsidRDefault="009F4D0E" w:rsidP="00F86B1E">
      <w:pPr>
        <w:pStyle w:val="a0"/>
      </w:pPr>
    </w:p>
    <w:p w:rsidR="009F4D0E" w:rsidRDefault="009F4D0E" w:rsidP="00F86B1E">
      <w:pPr>
        <w:pStyle w:val="a0"/>
      </w:pPr>
    </w:p>
    <w:p w:rsidR="009F4D0E" w:rsidRDefault="009F4D0E" w:rsidP="00F86B1E">
      <w:pPr>
        <w:pStyle w:val="a0"/>
      </w:pPr>
    </w:p>
    <w:p w:rsidR="009F4D0E" w:rsidRDefault="009F4D0E" w:rsidP="00F86B1E">
      <w:pPr>
        <w:pStyle w:val="a0"/>
      </w:pPr>
    </w:p>
    <w:p w:rsidR="009F4D0E" w:rsidRDefault="009F4D0E" w:rsidP="00F86B1E">
      <w:pPr>
        <w:pStyle w:val="a0"/>
      </w:pPr>
    </w:p>
    <w:p w:rsidR="009F4D0E" w:rsidRDefault="009F4D0E" w:rsidP="00F86B1E">
      <w:pPr>
        <w:pStyle w:val="a0"/>
      </w:pPr>
    </w:p>
    <w:p w:rsidR="009F4D0E" w:rsidRDefault="009F4D0E" w:rsidP="00F86B1E">
      <w:pPr>
        <w:pStyle w:val="a0"/>
      </w:pPr>
    </w:p>
    <w:p w:rsidR="009F4D0E" w:rsidRDefault="009F4D0E" w:rsidP="00F86B1E">
      <w:pPr>
        <w:pStyle w:val="a0"/>
      </w:pPr>
    </w:p>
    <w:p w:rsidR="009F4D0E" w:rsidRDefault="009F4D0E" w:rsidP="00F86B1E">
      <w:pPr>
        <w:pStyle w:val="a0"/>
      </w:pPr>
    </w:p>
    <w:p w:rsidR="009F4D0E" w:rsidRPr="004C3F25" w:rsidRDefault="009F4D0E" w:rsidP="00F86B1E">
      <w:pPr>
        <w:pStyle w:val="a0"/>
      </w:pPr>
    </w:p>
    <w:p w:rsidR="009F4D0E" w:rsidRPr="00C83B05" w:rsidRDefault="009F4D0E" w:rsidP="004C3F25">
      <w:pPr>
        <w:spacing w:line="360" w:lineRule="auto"/>
        <w:jc w:val="right"/>
        <w:rPr>
          <w:rFonts w:ascii="Times New Roman" w:hAnsi="Times New Roman"/>
          <w:sz w:val="28"/>
          <w:szCs w:val="28"/>
          <w:lang w:val="uk-UA"/>
        </w:rPr>
      </w:pPr>
    </w:p>
    <w:sectPr w:rsidR="009F4D0E" w:rsidRPr="00C83B05" w:rsidSect="001D10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C946058"/>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D1B2321C"/>
    <w:lvl w:ilvl="0">
      <w:start w:val="1"/>
      <w:numFmt w:val="bullet"/>
      <w:lvlText w:val=""/>
      <w:lvlJc w:val="left"/>
      <w:pPr>
        <w:tabs>
          <w:tab w:val="num" w:pos="360"/>
        </w:tabs>
        <w:ind w:left="360" w:hanging="360"/>
      </w:pPr>
      <w:rPr>
        <w:rFonts w:ascii="Symbol" w:hAnsi="Symbol" w:hint="default"/>
      </w:rPr>
    </w:lvl>
  </w:abstractNum>
  <w:abstractNum w:abstractNumId="2">
    <w:nsid w:val="089603AF"/>
    <w:multiLevelType w:val="hybridMultilevel"/>
    <w:tmpl w:val="27646DD6"/>
    <w:lvl w:ilvl="0" w:tplc="3A204E5A">
      <w:start w:val="1"/>
      <w:numFmt w:val="decimal"/>
      <w:lvlText w:val="%1."/>
      <w:lvlJc w:val="left"/>
      <w:pPr>
        <w:ind w:left="899" w:hanging="360"/>
      </w:pPr>
      <w:rPr>
        <w:rFonts w:cs="Times New Roman" w:hint="default"/>
        <w:b w:val="0"/>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
    <w:nsid w:val="0B817C60"/>
    <w:multiLevelType w:val="hybridMultilevel"/>
    <w:tmpl w:val="EB2EC08C"/>
    <w:lvl w:ilvl="0" w:tplc="A61E5C5C">
      <w:start w:val="1"/>
      <w:numFmt w:val="decimal"/>
      <w:pStyle w:val="3"/>
      <w:lvlText w:val="%1."/>
      <w:lvlJc w:val="left"/>
      <w:pPr>
        <w:tabs>
          <w:tab w:val="num" w:pos="360"/>
        </w:tabs>
        <w:ind w:left="360" w:hanging="360"/>
      </w:pPr>
      <w:rPr>
        <w:rFonts w:cs="Times New Roman" w:hint="default"/>
        <w:sz w:val="28"/>
        <w:szCs w:val="28"/>
      </w:rPr>
    </w:lvl>
    <w:lvl w:ilvl="1" w:tplc="A4106246" w:tentative="1">
      <w:start w:val="1"/>
      <w:numFmt w:val="lowerLetter"/>
      <w:lvlText w:val="%2."/>
      <w:lvlJc w:val="left"/>
      <w:pPr>
        <w:tabs>
          <w:tab w:val="num" w:pos="1440"/>
        </w:tabs>
        <w:ind w:left="1440" w:hanging="360"/>
      </w:pPr>
      <w:rPr>
        <w:rFonts w:cs="Times New Roman"/>
      </w:rPr>
    </w:lvl>
    <w:lvl w:ilvl="2" w:tplc="B350B1A2" w:tentative="1">
      <w:start w:val="1"/>
      <w:numFmt w:val="lowerRoman"/>
      <w:lvlText w:val="%3."/>
      <w:lvlJc w:val="right"/>
      <w:pPr>
        <w:tabs>
          <w:tab w:val="num" w:pos="2160"/>
        </w:tabs>
        <w:ind w:left="2160" w:hanging="180"/>
      </w:pPr>
      <w:rPr>
        <w:rFonts w:cs="Times New Roman"/>
      </w:rPr>
    </w:lvl>
    <w:lvl w:ilvl="3" w:tplc="2C68D958" w:tentative="1">
      <w:start w:val="1"/>
      <w:numFmt w:val="decimal"/>
      <w:lvlText w:val="%4."/>
      <w:lvlJc w:val="left"/>
      <w:pPr>
        <w:tabs>
          <w:tab w:val="num" w:pos="2880"/>
        </w:tabs>
        <w:ind w:left="2880" w:hanging="360"/>
      </w:pPr>
      <w:rPr>
        <w:rFonts w:cs="Times New Roman"/>
      </w:rPr>
    </w:lvl>
    <w:lvl w:ilvl="4" w:tplc="B5F85AA0" w:tentative="1">
      <w:start w:val="1"/>
      <w:numFmt w:val="lowerLetter"/>
      <w:lvlText w:val="%5."/>
      <w:lvlJc w:val="left"/>
      <w:pPr>
        <w:tabs>
          <w:tab w:val="num" w:pos="3600"/>
        </w:tabs>
        <w:ind w:left="3600" w:hanging="360"/>
      </w:pPr>
      <w:rPr>
        <w:rFonts w:cs="Times New Roman"/>
      </w:rPr>
    </w:lvl>
    <w:lvl w:ilvl="5" w:tplc="20B055F6" w:tentative="1">
      <w:start w:val="1"/>
      <w:numFmt w:val="lowerRoman"/>
      <w:lvlText w:val="%6."/>
      <w:lvlJc w:val="right"/>
      <w:pPr>
        <w:tabs>
          <w:tab w:val="num" w:pos="4320"/>
        </w:tabs>
        <w:ind w:left="4320" w:hanging="180"/>
      </w:pPr>
      <w:rPr>
        <w:rFonts w:cs="Times New Roman"/>
      </w:rPr>
    </w:lvl>
    <w:lvl w:ilvl="6" w:tplc="4F8ADC10" w:tentative="1">
      <w:start w:val="1"/>
      <w:numFmt w:val="decimal"/>
      <w:lvlText w:val="%7."/>
      <w:lvlJc w:val="left"/>
      <w:pPr>
        <w:tabs>
          <w:tab w:val="num" w:pos="5040"/>
        </w:tabs>
        <w:ind w:left="5040" w:hanging="360"/>
      </w:pPr>
      <w:rPr>
        <w:rFonts w:cs="Times New Roman"/>
      </w:rPr>
    </w:lvl>
    <w:lvl w:ilvl="7" w:tplc="FBE89B48" w:tentative="1">
      <w:start w:val="1"/>
      <w:numFmt w:val="lowerLetter"/>
      <w:lvlText w:val="%8."/>
      <w:lvlJc w:val="left"/>
      <w:pPr>
        <w:tabs>
          <w:tab w:val="num" w:pos="5760"/>
        </w:tabs>
        <w:ind w:left="5760" w:hanging="360"/>
      </w:pPr>
      <w:rPr>
        <w:rFonts w:cs="Times New Roman"/>
      </w:rPr>
    </w:lvl>
    <w:lvl w:ilvl="8" w:tplc="B4CEC8F4" w:tentative="1">
      <w:start w:val="1"/>
      <w:numFmt w:val="lowerRoman"/>
      <w:lvlText w:val="%9."/>
      <w:lvlJc w:val="right"/>
      <w:pPr>
        <w:tabs>
          <w:tab w:val="num" w:pos="6480"/>
        </w:tabs>
        <w:ind w:left="6480" w:hanging="180"/>
      </w:pPr>
      <w:rPr>
        <w:rFonts w:cs="Times New Roman"/>
      </w:rPr>
    </w:lvl>
  </w:abstractNum>
  <w:abstractNum w:abstractNumId="4">
    <w:nsid w:val="25DA6827"/>
    <w:multiLevelType w:val="hybridMultilevel"/>
    <w:tmpl w:val="80804D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254335D"/>
    <w:multiLevelType w:val="hybridMultilevel"/>
    <w:tmpl w:val="4948DD0C"/>
    <w:lvl w:ilvl="0" w:tplc="9DFC43A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6CC629BB"/>
    <w:multiLevelType w:val="hybridMultilevel"/>
    <w:tmpl w:val="3EB0446E"/>
    <w:lvl w:ilvl="0" w:tplc="81982F42">
      <w:numFmt w:val="bullet"/>
      <w:pStyle w:val="List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4"/>
  </w:num>
  <w:num w:numId="6">
    <w:abstractNumId w:val="6"/>
  </w:num>
  <w:num w:numId="7">
    <w:abstractNumId w:val="2"/>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50CB"/>
    <w:rsid w:val="00012CB2"/>
    <w:rsid w:val="00073BB1"/>
    <w:rsid w:val="000F10E7"/>
    <w:rsid w:val="00126EFA"/>
    <w:rsid w:val="00154EDB"/>
    <w:rsid w:val="001628FF"/>
    <w:rsid w:val="00174042"/>
    <w:rsid w:val="001D06A4"/>
    <w:rsid w:val="001D102D"/>
    <w:rsid w:val="00236B33"/>
    <w:rsid w:val="00252A03"/>
    <w:rsid w:val="00262414"/>
    <w:rsid w:val="002F11E1"/>
    <w:rsid w:val="00307447"/>
    <w:rsid w:val="0032463B"/>
    <w:rsid w:val="00354138"/>
    <w:rsid w:val="00403605"/>
    <w:rsid w:val="004404B3"/>
    <w:rsid w:val="00441C37"/>
    <w:rsid w:val="00476C82"/>
    <w:rsid w:val="004C3F25"/>
    <w:rsid w:val="00557CC9"/>
    <w:rsid w:val="005F2D9F"/>
    <w:rsid w:val="00631AA4"/>
    <w:rsid w:val="006E03A8"/>
    <w:rsid w:val="006E6469"/>
    <w:rsid w:val="007950CB"/>
    <w:rsid w:val="007F0DFB"/>
    <w:rsid w:val="00895117"/>
    <w:rsid w:val="008A7585"/>
    <w:rsid w:val="008E2F7C"/>
    <w:rsid w:val="008F361E"/>
    <w:rsid w:val="009001E8"/>
    <w:rsid w:val="00900314"/>
    <w:rsid w:val="00930E29"/>
    <w:rsid w:val="009846A6"/>
    <w:rsid w:val="009C7C89"/>
    <w:rsid w:val="009E3574"/>
    <w:rsid w:val="009E6382"/>
    <w:rsid w:val="009F4D0E"/>
    <w:rsid w:val="00A367A2"/>
    <w:rsid w:val="00A42154"/>
    <w:rsid w:val="00AA1841"/>
    <w:rsid w:val="00AC3510"/>
    <w:rsid w:val="00B010FF"/>
    <w:rsid w:val="00B65676"/>
    <w:rsid w:val="00B6713E"/>
    <w:rsid w:val="00B94098"/>
    <w:rsid w:val="00BA4DB9"/>
    <w:rsid w:val="00BB5A48"/>
    <w:rsid w:val="00C56977"/>
    <w:rsid w:val="00C83B05"/>
    <w:rsid w:val="00CC15CB"/>
    <w:rsid w:val="00CF350A"/>
    <w:rsid w:val="00D104E4"/>
    <w:rsid w:val="00E1757F"/>
    <w:rsid w:val="00EF5B52"/>
    <w:rsid w:val="00F50125"/>
    <w:rsid w:val="00F515B4"/>
    <w:rsid w:val="00F80A0D"/>
    <w:rsid w:val="00F86B1E"/>
    <w:rsid w:val="00FB2E0F"/>
    <w:rsid w:val="00FC1886"/>
    <w:rsid w:val="00FF6D21"/>
    <w:rsid w:val="00FF7DC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02D"/>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маркир.список автореферат"/>
    <w:basedOn w:val="ListBullet"/>
    <w:next w:val="Normal"/>
    <w:autoRedefine/>
    <w:uiPriority w:val="99"/>
    <w:rsid w:val="00EF5B52"/>
    <w:pPr>
      <w:numPr>
        <w:numId w:val="0"/>
      </w:numPr>
      <w:tabs>
        <w:tab w:val="left" w:pos="567"/>
      </w:tabs>
      <w:spacing w:after="0" w:line="240" w:lineRule="auto"/>
      <w:ind w:firstLine="567"/>
      <w:jc w:val="both"/>
    </w:pPr>
    <w:rPr>
      <w:rFonts w:ascii="Times New Roman" w:eastAsia="Times New Roman" w:hAnsi="Times New Roman"/>
      <w:sz w:val="28"/>
      <w:szCs w:val="28"/>
      <w:lang w:val="uk-UA" w:eastAsia="ru-RU"/>
    </w:rPr>
  </w:style>
  <w:style w:type="character" w:customStyle="1" w:styleId="rvts6">
    <w:name w:val="rvts6"/>
    <w:basedOn w:val="DefaultParagraphFont"/>
    <w:uiPriority w:val="99"/>
    <w:rsid w:val="00EF5B52"/>
    <w:rPr>
      <w:rFonts w:ascii="Times New Roman" w:hAnsi="Times New Roman" w:cs="Times New Roman"/>
      <w:sz w:val="24"/>
      <w:szCs w:val="24"/>
    </w:rPr>
  </w:style>
  <w:style w:type="paragraph" w:styleId="ListParagraph">
    <w:name w:val="List Paragraph"/>
    <w:basedOn w:val="Normal"/>
    <w:uiPriority w:val="99"/>
    <w:qFormat/>
    <w:rsid w:val="00EF5B52"/>
    <w:pPr>
      <w:spacing w:after="200" w:line="276" w:lineRule="auto"/>
      <w:ind w:left="720"/>
      <w:contextualSpacing/>
    </w:pPr>
    <w:rPr>
      <w:rFonts w:eastAsia="Times New Roman"/>
      <w:lang w:eastAsia="ru-RU"/>
    </w:rPr>
  </w:style>
  <w:style w:type="paragraph" w:customStyle="1" w:styleId="1">
    <w:name w:val="Абзац списка1"/>
    <w:basedOn w:val="Normal"/>
    <w:uiPriority w:val="99"/>
    <w:rsid w:val="00EF5B52"/>
    <w:pPr>
      <w:spacing w:after="200" w:line="276" w:lineRule="auto"/>
      <w:ind w:left="720"/>
    </w:pPr>
    <w:rPr>
      <w:rFonts w:eastAsia="Times New Roman"/>
    </w:rPr>
  </w:style>
  <w:style w:type="paragraph" w:customStyle="1" w:styleId="style11">
    <w:name w:val="style11"/>
    <w:basedOn w:val="Normal"/>
    <w:uiPriority w:val="99"/>
    <w:rsid w:val="00EF5B52"/>
    <w:pPr>
      <w:spacing w:before="100" w:beforeAutospacing="1" w:after="100" w:afterAutospacing="1" w:line="240" w:lineRule="auto"/>
    </w:pPr>
    <w:rPr>
      <w:rFonts w:ascii="Times New Roman" w:hAnsi="Times New Roman"/>
      <w:sz w:val="24"/>
      <w:szCs w:val="24"/>
      <w:lang w:eastAsia="ru-RU"/>
    </w:rPr>
  </w:style>
  <w:style w:type="character" w:customStyle="1" w:styleId="fontstyle28">
    <w:name w:val="fontstyle28"/>
    <w:basedOn w:val="DefaultParagraphFont"/>
    <w:uiPriority w:val="99"/>
    <w:rsid w:val="00EF5B52"/>
    <w:rPr>
      <w:rFonts w:ascii="Times New Roman" w:hAnsi="Times New Roman" w:cs="Times New Roman"/>
    </w:rPr>
  </w:style>
  <w:style w:type="character" w:customStyle="1" w:styleId="9">
    <w:name w:val="9"/>
    <w:basedOn w:val="DefaultParagraphFont"/>
    <w:uiPriority w:val="99"/>
    <w:rsid w:val="00EF5B52"/>
    <w:rPr>
      <w:rFonts w:ascii="Times New Roman" w:hAnsi="Times New Roman" w:cs="Times New Roman"/>
    </w:rPr>
  </w:style>
  <w:style w:type="paragraph" w:styleId="ListBullet">
    <w:name w:val="List Bullet"/>
    <w:basedOn w:val="Normal"/>
    <w:uiPriority w:val="99"/>
    <w:semiHidden/>
    <w:rsid w:val="00EF5B52"/>
    <w:pPr>
      <w:numPr>
        <w:numId w:val="6"/>
      </w:numPr>
      <w:contextualSpacing/>
    </w:pPr>
  </w:style>
  <w:style w:type="paragraph" w:styleId="NormalWeb">
    <w:name w:val="Normal (Web)"/>
    <w:basedOn w:val="Normal"/>
    <w:uiPriority w:val="99"/>
    <w:rsid w:val="00EF5B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дисертація основний текст"/>
    <w:basedOn w:val="Normal"/>
    <w:autoRedefine/>
    <w:uiPriority w:val="99"/>
    <w:rsid w:val="00F86B1E"/>
    <w:pPr>
      <w:spacing w:after="0" w:line="360" w:lineRule="auto"/>
      <w:ind w:firstLine="567"/>
    </w:pPr>
    <w:rPr>
      <w:rFonts w:ascii="Times New Roman" w:eastAsia="Times New Roman" w:hAnsi="Times New Roman"/>
      <w:sz w:val="28"/>
      <w:szCs w:val="28"/>
      <w:lang w:val="uk-UA" w:eastAsia="ru-RU"/>
    </w:rPr>
  </w:style>
  <w:style w:type="paragraph" w:customStyle="1" w:styleId="a1">
    <w:name w:val="дисертація марк список"/>
    <w:basedOn w:val="ListBullet"/>
    <w:next w:val="a0"/>
    <w:autoRedefine/>
    <w:uiPriority w:val="99"/>
    <w:rsid w:val="00A367A2"/>
    <w:pPr>
      <w:numPr>
        <w:numId w:val="0"/>
      </w:numPr>
      <w:spacing w:after="0" w:line="360" w:lineRule="auto"/>
      <w:ind w:left="567"/>
      <w:jc w:val="both"/>
    </w:pPr>
    <w:rPr>
      <w:rFonts w:ascii="Times New Roman" w:eastAsia="Times New Roman" w:hAnsi="Times New Roman"/>
      <w:sz w:val="28"/>
      <w:lang w:val="uk-UA" w:eastAsia="ru-RU"/>
    </w:rPr>
  </w:style>
  <w:style w:type="paragraph" w:customStyle="1" w:styleId="a2">
    <w:name w:val="дисертація нумер список джерела"/>
    <w:basedOn w:val="ListNumber"/>
    <w:next w:val="a0"/>
    <w:autoRedefine/>
    <w:uiPriority w:val="99"/>
    <w:rsid w:val="00174042"/>
    <w:pPr>
      <w:tabs>
        <w:tab w:val="left" w:pos="1134"/>
      </w:tabs>
      <w:spacing w:after="0" w:line="360" w:lineRule="auto"/>
      <w:ind w:left="0" w:firstLine="567"/>
      <w:jc w:val="both"/>
    </w:pPr>
    <w:rPr>
      <w:rFonts w:ascii="Times New Roman" w:eastAsia="Times New Roman" w:hAnsi="Times New Roman"/>
      <w:sz w:val="28"/>
      <w:szCs w:val="28"/>
      <w:lang w:val="uk-UA" w:eastAsia="ru-RU"/>
    </w:rPr>
  </w:style>
  <w:style w:type="paragraph" w:styleId="ListNumber">
    <w:name w:val="List Number"/>
    <w:basedOn w:val="Normal"/>
    <w:uiPriority w:val="99"/>
    <w:semiHidden/>
    <w:rsid w:val="00174042"/>
    <w:pPr>
      <w:ind w:left="899" w:hanging="360"/>
      <w:contextualSpacing/>
    </w:pPr>
  </w:style>
  <w:style w:type="character" w:customStyle="1" w:styleId="rvts9">
    <w:name w:val="rvts9"/>
    <w:basedOn w:val="DefaultParagraphFont"/>
    <w:uiPriority w:val="99"/>
    <w:rsid w:val="00CF350A"/>
    <w:rPr>
      <w:rFonts w:ascii="Times New Roman" w:hAnsi="Times New Roman" w:cs="Times New Roman"/>
      <w:sz w:val="24"/>
      <w:szCs w:val="24"/>
    </w:rPr>
  </w:style>
  <w:style w:type="character" w:styleId="Hyperlink">
    <w:name w:val="Hyperlink"/>
    <w:basedOn w:val="DefaultParagraphFont"/>
    <w:uiPriority w:val="99"/>
    <w:rsid w:val="001628FF"/>
    <w:rPr>
      <w:rFonts w:cs="Times New Roman"/>
      <w:color w:val="0563C1"/>
      <w:u w:val="single"/>
    </w:rPr>
  </w:style>
  <w:style w:type="paragraph" w:customStyle="1" w:styleId="3">
    <w:name w:val="нумер список3 автореферат"/>
    <w:basedOn w:val="ListNumber"/>
    <w:uiPriority w:val="99"/>
    <w:rsid w:val="00900314"/>
    <w:pPr>
      <w:widowControl w:val="0"/>
      <w:numPr>
        <w:numId w:val="9"/>
      </w:numPr>
      <w:tabs>
        <w:tab w:val="clear" w:pos="360"/>
        <w:tab w:val="num" w:pos="992"/>
        <w:tab w:val="num" w:pos="1100"/>
      </w:tabs>
      <w:spacing w:after="0" w:line="240" w:lineRule="auto"/>
      <w:ind w:left="0" w:firstLine="539"/>
      <w:jc w:val="both"/>
    </w:pPr>
    <w:rPr>
      <w:rFonts w:ascii="Times New Roman" w:eastAsia="Times New Roman" w:hAnsi="Times New Roman"/>
      <w:sz w:val="28"/>
      <w:szCs w:val="28"/>
      <w:lang w:val="uk-UA" w:eastAsia="ru-RU"/>
    </w:rPr>
  </w:style>
</w:styles>
</file>

<file path=word/webSettings.xml><?xml version="1.0" encoding="utf-8"?>
<w:webSettings xmlns:r="http://schemas.openxmlformats.org/officeDocument/2006/relationships" xmlns:w="http://schemas.openxmlformats.org/wordprocessingml/2006/main">
  <w:divs>
    <w:div w:id="3769036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402</TotalTime>
  <Pages>6</Pages>
  <Words>5729</Words>
  <Characters>3266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19</cp:revision>
  <dcterms:created xsi:type="dcterms:W3CDTF">2017-10-06T19:37:00Z</dcterms:created>
  <dcterms:modified xsi:type="dcterms:W3CDTF">2017-12-29T12:17:00Z</dcterms:modified>
</cp:coreProperties>
</file>