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10C" w:rsidRPr="00421BFD" w:rsidRDefault="0091210C" w:rsidP="00521A32">
      <w:pPr>
        <w:spacing w:line="240" w:lineRule="auto"/>
        <w:contextualSpacing/>
        <w:jc w:val="right"/>
        <w:rPr>
          <w:b/>
          <w:lang w:val="uk-UA"/>
        </w:rPr>
      </w:pPr>
      <w:r w:rsidRPr="00421BFD">
        <w:rPr>
          <w:b/>
          <w:lang w:val="uk-UA"/>
        </w:rPr>
        <w:t xml:space="preserve">Ольга Лучанінова, Анастасія Олійник </w:t>
      </w:r>
    </w:p>
    <w:p w:rsidR="0091210C" w:rsidRPr="00421BFD" w:rsidRDefault="0091210C" w:rsidP="00521A32">
      <w:pPr>
        <w:spacing w:line="240" w:lineRule="auto"/>
        <w:contextualSpacing/>
        <w:jc w:val="right"/>
        <w:rPr>
          <w:b/>
          <w:lang w:val="uk-UA"/>
        </w:rPr>
      </w:pPr>
      <w:r w:rsidRPr="00421BFD">
        <w:rPr>
          <w:b/>
          <w:lang w:val="uk-UA"/>
        </w:rPr>
        <w:t>(Дніпро, Україна)</w:t>
      </w:r>
    </w:p>
    <w:p w:rsidR="0091210C" w:rsidRPr="0041440D" w:rsidRDefault="0091210C" w:rsidP="00BF4B98">
      <w:pPr>
        <w:contextualSpacing/>
        <w:rPr>
          <w:b/>
          <w:shd w:val="clear" w:color="auto" w:fill="FFFFFF"/>
          <w:lang w:val="uk-UA"/>
        </w:rPr>
      </w:pPr>
    </w:p>
    <w:p w:rsidR="0091210C" w:rsidRPr="0041440D" w:rsidRDefault="0091210C" w:rsidP="00521A32">
      <w:pPr>
        <w:contextualSpacing/>
        <w:jc w:val="center"/>
        <w:rPr>
          <w:b/>
          <w:caps/>
          <w:shd w:val="clear" w:color="auto" w:fill="FFFFFF"/>
          <w:lang w:val="uk-UA"/>
        </w:rPr>
      </w:pPr>
      <w:r w:rsidRPr="0041440D">
        <w:rPr>
          <w:b/>
          <w:caps/>
          <w:bdr w:val="none" w:sz="0" w:space="0" w:color="auto" w:frame="1"/>
          <w:lang w:val="uk-UA"/>
        </w:rPr>
        <w:t>ФОРМУВАННЯ професійних знань у майбутніх фахівців засобами професійної комунікації</w:t>
      </w:r>
    </w:p>
    <w:p w:rsidR="0091210C" w:rsidRPr="008C5AF9" w:rsidRDefault="0091210C" w:rsidP="00BF4B98">
      <w:pPr>
        <w:contextualSpacing/>
        <w:rPr>
          <w:shd w:val="clear" w:color="auto" w:fill="FFFFFF"/>
          <w:lang w:val="uk-UA"/>
        </w:rPr>
      </w:pPr>
    </w:p>
    <w:p w:rsidR="0091210C" w:rsidRPr="001D2E1E" w:rsidRDefault="0091210C" w:rsidP="00BC4DBE">
      <w:pPr>
        <w:shd w:val="clear" w:color="auto" w:fill="FFFFFF"/>
        <w:contextualSpacing/>
        <w:rPr>
          <w:bdr w:val="none" w:sz="0" w:space="0" w:color="auto" w:frame="1"/>
          <w:lang w:val="uk-UA"/>
        </w:rPr>
      </w:pPr>
      <w:r w:rsidRPr="001D2E1E">
        <w:rPr>
          <w:lang w:val="uk-UA"/>
        </w:rPr>
        <w:t xml:space="preserve">Важливою передумовою реформування вищої педагогічної освіти має стати принципове оновлення методики і технології освіти, перехід від технологій «до студента </w:t>
      </w:r>
      <w:r w:rsidRPr="001D2E1E">
        <w:rPr>
          <w:bdr w:val="none" w:sz="0" w:space="0" w:color="auto" w:frame="1"/>
          <w:lang w:val="uk-UA"/>
        </w:rPr>
        <w:t xml:space="preserve">– </w:t>
      </w:r>
      <w:r w:rsidRPr="001D2E1E">
        <w:rPr>
          <w:lang w:val="uk-UA"/>
        </w:rPr>
        <w:t xml:space="preserve">з культурою» до технологій «зі студентом </w:t>
      </w:r>
      <w:r w:rsidRPr="001D2E1E">
        <w:rPr>
          <w:bdr w:val="none" w:sz="0" w:space="0" w:color="auto" w:frame="1"/>
          <w:lang w:val="uk-UA"/>
        </w:rPr>
        <w:t xml:space="preserve">– </w:t>
      </w:r>
      <w:r w:rsidRPr="001D2E1E">
        <w:rPr>
          <w:lang w:val="uk-UA"/>
        </w:rPr>
        <w:t>до культури»</w:t>
      </w:r>
      <w:r w:rsidRPr="001D2E1E">
        <w:rPr>
          <w:bdr w:val="none" w:sz="0" w:space="0" w:color="auto" w:frame="1"/>
          <w:lang w:val="uk-UA"/>
        </w:rPr>
        <w:t xml:space="preserve">. Насамперед у вищій педагогічній школі має змінитися основна форма організації навчання  – лекція, яка вибудовується через зіставлення багатоманітності позицій та ідей, коли закладаються основи для внутрішнього діалогу, особистісного самовизначення, ціннісного осмислення знання. Таким чином, в основі цього оновлення мають стояти комунікативні засоби формування професійних знань у майбутніх фахівців. </w:t>
      </w:r>
    </w:p>
    <w:p w:rsidR="0091210C" w:rsidRPr="001D2E1E" w:rsidRDefault="0091210C" w:rsidP="00BF4B98">
      <w:pPr>
        <w:contextualSpacing/>
        <w:rPr>
          <w:shd w:val="clear" w:color="auto" w:fill="FFFFFF"/>
          <w:lang w:val="uk-UA"/>
        </w:rPr>
      </w:pPr>
      <w:r w:rsidRPr="001D2E1E">
        <w:rPr>
          <w:shd w:val="clear" w:color="auto" w:fill="FFFFFF"/>
          <w:lang w:val="uk-UA"/>
        </w:rPr>
        <w:t xml:space="preserve">Аналіз науково-методичної літератури дає підстави стверджувати, що сьогодні багато наукових робіт присвячено вивченню комунікативних засобів та їх застосуванню у закладах вищої освіти. Увага приділяється  формуванню та збагаченню професійних знань студентів засобами професійної комунікації. Це зумовлено складністю сучасних соціальних процесів, загальною нестабільністю нашого суспільства, що гостро позначаються як на духовному, так і фізичному розвитку підростаючого покоління. З такої точки зору проблема професійно-педагогічної підготовки </w:t>
      </w:r>
      <w:r w:rsidRPr="001D2E1E">
        <w:rPr>
          <w:bdr w:val="none" w:sz="0" w:space="0" w:color="auto" w:frame="1"/>
          <w:lang w:val="uk-UA"/>
        </w:rPr>
        <w:t>майбутніх фахівців</w:t>
      </w:r>
      <w:r w:rsidRPr="001D2E1E">
        <w:rPr>
          <w:shd w:val="clear" w:color="auto" w:fill="FFFFFF"/>
          <w:lang w:val="uk-UA"/>
        </w:rPr>
        <w:t>, їхніх знань, умінь та навичок є актуальною.</w:t>
      </w:r>
    </w:p>
    <w:p w:rsidR="0091210C" w:rsidRPr="001D2E1E" w:rsidRDefault="0091210C" w:rsidP="00BF4B98">
      <w:pPr>
        <w:shd w:val="clear" w:color="auto" w:fill="FFFFFF"/>
        <w:contextualSpacing/>
        <w:rPr>
          <w:lang w:val="uk-UA" w:eastAsia="ru-RU"/>
        </w:rPr>
      </w:pPr>
      <w:r w:rsidRPr="001D2E1E">
        <w:rPr>
          <w:bdr w:val="none" w:sz="0" w:space="0" w:color="auto" w:frame="1"/>
          <w:lang w:val="uk-UA"/>
        </w:rPr>
        <w:t xml:space="preserve">Цій проблемі присвячено праці </w:t>
      </w:r>
      <w:r w:rsidRPr="001D2E1E">
        <w:rPr>
          <w:lang w:val="uk-UA" w:eastAsia="ru-RU"/>
        </w:rPr>
        <w:t xml:space="preserve">В.Д. Шадрикова, І.А. Зимньої,                В.І. Байденко, С.О. Козлова, Ю.Р. Татур, А.В. Суригіна, Ю.В. Фролова,               А.А. Бодальова, Д.А. Махотіна, С.А. Маруєва, Н.В. Кузьміної,                            </w:t>
      </w:r>
      <w:r w:rsidRPr="001D2E1E">
        <w:rPr>
          <w:lang w:val="uk-UA"/>
        </w:rPr>
        <w:t xml:space="preserve">Л.С. Рубінштейн, Г.С. Костюк,  </w:t>
      </w:r>
      <w:r w:rsidRPr="001D2E1E">
        <w:rPr>
          <w:lang w:val="uk-UA" w:eastAsia="ru-RU"/>
        </w:rPr>
        <w:t>Е.Ф. Зеера та ін..</w:t>
      </w:r>
    </w:p>
    <w:p w:rsidR="0091210C" w:rsidRPr="001D2E1E" w:rsidRDefault="0091210C" w:rsidP="009355CF">
      <w:pPr>
        <w:shd w:val="clear" w:color="auto" w:fill="FFFFFF"/>
        <w:contextualSpacing/>
        <w:rPr>
          <w:lang w:val="uk-UA" w:eastAsia="ru-RU"/>
        </w:rPr>
      </w:pPr>
      <w:r w:rsidRPr="001D2E1E">
        <w:rPr>
          <w:lang w:val="uk-UA" w:eastAsia="ru-RU"/>
        </w:rPr>
        <w:t>Учені розглядають комунікативні засоби як способи передачі інформації. Це зумовлено тим, що життя  сучасної людини  наповнено різними сферами, які розвиваються з кожним днем. Саме тому практичний аспект пов’язаний із тим, щоб допомогти засвоєнню нових знань у різних галузях навчання.</w:t>
      </w:r>
    </w:p>
    <w:p w:rsidR="0091210C" w:rsidRPr="001D2E1E" w:rsidRDefault="0091210C" w:rsidP="00BC4DBE">
      <w:pPr>
        <w:pStyle w:val="NormalWeb"/>
        <w:shd w:val="clear" w:color="auto" w:fill="FFFFFF"/>
        <w:spacing w:before="0" w:beforeAutospacing="0" w:after="0" w:afterAutospacing="0" w:line="360" w:lineRule="auto"/>
        <w:ind w:firstLine="709"/>
        <w:contextualSpacing/>
        <w:jc w:val="both"/>
        <w:rPr>
          <w:sz w:val="28"/>
          <w:szCs w:val="28"/>
          <w:shd w:val="clear" w:color="auto" w:fill="FFFFFF"/>
          <w:lang w:val="uk-UA"/>
        </w:rPr>
      </w:pPr>
      <w:r w:rsidRPr="001D2E1E">
        <w:rPr>
          <w:sz w:val="28"/>
          <w:szCs w:val="28"/>
          <w:lang w:val="uk-UA"/>
        </w:rPr>
        <w:t xml:space="preserve">Так, </w:t>
      </w:r>
      <w:r>
        <w:rPr>
          <w:sz w:val="28"/>
          <w:szCs w:val="28"/>
          <w:lang w:val="uk-UA"/>
        </w:rPr>
        <w:t>С.</w:t>
      </w:r>
      <w:r w:rsidRPr="001D2E1E">
        <w:rPr>
          <w:sz w:val="28"/>
          <w:szCs w:val="28"/>
          <w:lang w:val="uk-UA"/>
        </w:rPr>
        <w:t xml:space="preserve">Л. Рубінштейн підкреслює, що процес засвоєння знань є центральною частиною процесу навчання. Цей процес ніяк не зводиться до пам’яті чи запам’ятовування. В нього включаються сприйняття матеріалу, його осмислення, запам’ятовування і те оволодіння ним, яке дає можливість вільно користуватися набутими знаннями у різних ситуаціях. На основі результату експериментальних даних він сформулював ряд положень, що виражають у конкретній формі залежність запам’ятовування матеріалу від форми викладення: основи міцного засвоєння матеріалу закладають в процесі первинної його подачі; повторення, при правильній його організації, є поглибленим осмисленням матеріалу; необхідність відтворення активізує осмислення </w:t>
      </w:r>
      <w:r w:rsidRPr="001D2E1E">
        <w:rPr>
          <w:sz w:val="28"/>
          <w:szCs w:val="28"/>
          <w:shd w:val="clear" w:color="auto" w:fill="FFFFFF"/>
          <w:lang w:val="uk-UA"/>
        </w:rPr>
        <w:t>[</w:t>
      </w:r>
      <w:r>
        <w:rPr>
          <w:sz w:val="28"/>
          <w:szCs w:val="28"/>
          <w:shd w:val="clear" w:color="auto" w:fill="FFFFFF"/>
          <w:lang w:val="uk-UA"/>
        </w:rPr>
        <w:t>8</w:t>
      </w:r>
      <w:r w:rsidRPr="001D2E1E">
        <w:rPr>
          <w:sz w:val="28"/>
          <w:szCs w:val="28"/>
          <w:shd w:val="clear" w:color="auto" w:fill="FFFFFF"/>
          <w:lang w:val="uk-UA"/>
        </w:rPr>
        <w:t xml:space="preserve">, с. 85]. </w:t>
      </w:r>
    </w:p>
    <w:p w:rsidR="0091210C" w:rsidRPr="001D2E1E" w:rsidRDefault="0091210C" w:rsidP="00BC4DBE">
      <w:pPr>
        <w:pStyle w:val="NormalWeb"/>
        <w:shd w:val="clear" w:color="auto" w:fill="FFFFFF"/>
        <w:spacing w:before="0" w:beforeAutospacing="0" w:after="0" w:afterAutospacing="0" w:line="360" w:lineRule="auto"/>
        <w:ind w:firstLine="709"/>
        <w:contextualSpacing/>
        <w:jc w:val="both"/>
        <w:rPr>
          <w:sz w:val="28"/>
          <w:szCs w:val="28"/>
          <w:shd w:val="clear" w:color="auto" w:fill="FFFFFF"/>
          <w:lang w:val="uk-UA"/>
        </w:rPr>
      </w:pPr>
      <w:r w:rsidRPr="001D2E1E">
        <w:rPr>
          <w:sz w:val="28"/>
          <w:szCs w:val="28"/>
          <w:lang w:val="uk-UA"/>
        </w:rPr>
        <w:t>На думку</w:t>
      </w:r>
      <w:r>
        <w:rPr>
          <w:sz w:val="28"/>
          <w:szCs w:val="28"/>
          <w:lang w:val="uk-UA"/>
        </w:rPr>
        <w:t xml:space="preserve">  Г. С. </w:t>
      </w:r>
      <w:r w:rsidRPr="001D2E1E">
        <w:rPr>
          <w:sz w:val="28"/>
          <w:szCs w:val="28"/>
          <w:lang w:val="uk-UA"/>
        </w:rPr>
        <w:t xml:space="preserve">Костюка, засвоїти знання </w:t>
      </w:r>
      <w:r w:rsidRPr="001D2E1E">
        <w:rPr>
          <w:sz w:val="28"/>
          <w:szCs w:val="28"/>
          <w:bdr w:val="none" w:sz="0" w:space="0" w:color="auto" w:frame="1"/>
          <w:lang w:val="uk-UA"/>
        </w:rPr>
        <w:t xml:space="preserve">– </w:t>
      </w:r>
      <w:r w:rsidRPr="001D2E1E">
        <w:rPr>
          <w:sz w:val="28"/>
          <w:szCs w:val="28"/>
          <w:lang w:val="uk-UA"/>
        </w:rPr>
        <w:t xml:space="preserve">це не просто запам’ятати результати людської пізнавальної і практичної діяльності в їх готовому вигляді. Це означає під керівництвом педагога повторити, хоч би у скороченому вигляді, ту діяльність, яку здійснювали люди, утворюючи ці знання.  Повноцінно засвоїти знання, тобто зробити їх власним здобутком можна, тільки оволодіваючи виробленими людьми процесами і способами утворення знань. Знання, на думку вченого, це система понять, що є результатом багатовікової мисленнєвої діяльності людства. Як такі, вони можуть стати власним надбанням тільки через відповідні мисленнєві дії, що включають підпорядковані їм акти сприйняття, запам’ятовування, інші психічні процеси. Якщо структура навчальної діяльності спрощується, зводиться до сприйняття і запам’ятовування готових істин, словесних формулювань, то поняття по-справжньому не засвоюються, і позитивний вплив навчання значно зменшується </w:t>
      </w:r>
      <w:r w:rsidRPr="001D2E1E">
        <w:rPr>
          <w:sz w:val="28"/>
          <w:szCs w:val="28"/>
          <w:shd w:val="clear" w:color="auto" w:fill="FFFFFF"/>
          <w:lang w:val="uk-UA"/>
        </w:rPr>
        <w:t xml:space="preserve">[5, с. 12]. </w:t>
      </w:r>
    </w:p>
    <w:p w:rsidR="0091210C" w:rsidRPr="001D2E1E" w:rsidRDefault="0091210C" w:rsidP="0063754D">
      <w:pPr>
        <w:pStyle w:val="NormalWeb"/>
        <w:shd w:val="clear" w:color="auto" w:fill="FFFFFF"/>
        <w:spacing w:before="0" w:beforeAutospacing="0" w:after="0" w:afterAutospacing="0" w:line="360" w:lineRule="auto"/>
        <w:ind w:firstLine="709"/>
        <w:contextualSpacing/>
        <w:jc w:val="both"/>
        <w:rPr>
          <w:sz w:val="28"/>
          <w:szCs w:val="28"/>
          <w:lang w:val="uk-UA"/>
        </w:rPr>
      </w:pPr>
      <w:r w:rsidRPr="001D2E1E">
        <w:rPr>
          <w:sz w:val="28"/>
          <w:szCs w:val="28"/>
          <w:lang w:val="uk-UA"/>
        </w:rPr>
        <w:t>Вітчизняна психологія розглядає засвоєння знань як складну діяльність, виконання якої значною мірою залежить передусім від мотивів, що спонукають до засвоєння цих знань, від ставлення до їх засвоєння, що, звичайно, пов’язано, але не зовсім збігається із загальними мотивами учіння, зі ставленням до навчальної діяльності у цілому.</w:t>
      </w:r>
    </w:p>
    <w:p w:rsidR="0091210C" w:rsidRPr="001D2E1E" w:rsidRDefault="0091210C" w:rsidP="0063754D">
      <w:pPr>
        <w:pStyle w:val="NormalWeb"/>
        <w:shd w:val="clear" w:color="auto" w:fill="FFFFFF"/>
        <w:spacing w:before="0" w:beforeAutospacing="0" w:after="0" w:afterAutospacing="0" w:line="360" w:lineRule="auto"/>
        <w:ind w:firstLine="709"/>
        <w:contextualSpacing/>
        <w:jc w:val="both"/>
        <w:rPr>
          <w:sz w:val="28"/>
          <w:szCs w:val="28"/>
          <w:lang w:val="uk-UA"/>
        </w:rPr>
      </w:pPr>
      <w:r w:rsidRPr="001D2E1E">
        <w:rPr>
          <w:sz w:val="28"/>
          <w:szCs w:val="28"/>
          <w:lang w:val="uk-UA"/>
        </w:rPr>
        <w:t>Важливо підкреслити, що вся робота щодо засвоєння знань, формування і розвитку умінь та навичок в тому чи іншому виді мовленнєвої діяльності може принести успіх лише за умови інтенсивного становлення і реального запуску механізму мовлення.</w:t>
      </w:r>
    </w:p>
    <w:p w:rsidR="0091210C" w:rsidRPr="001D2E1E" w:rsidRDefault="0091210C" w:rsidP="0063754D">
      <w:pPr>
        <w:pStyle w:val="NormalWeb"/>
        <w:shd w:val="clear" w:color="auto" w:fill="FFFFFF"/>
        <w:spacing w:before="0" w:beforeAutospacing="0" w:after="0" w:afterAutospacing="0" w:line="360" w:lineRule="auto"/>
        <w:ind w:firstLine="709"/>
        <w:contextualSpacing/>
        <w:jc w:val="both"/>
        <w:rPr>
          <w:sz w:val="28"/>
          <w:szCs w:val="28"/>
          <w:shd w:val="clear" w:color="auto" w:fill="FFFFFF"/>
          <w:lang w:val="uk-UA"/>
        </w:rPr>
      </w:pPr>
      <w:r w:rsidRPr="001D2E1E">
        <w:rPr>
          <w:sz w:val="28"/>
          <w:szCs w:val="28"/>
          <w:lang w:val="uk-UA"/>
        </w:rPr>
        <w:t>На думку  В.</w:t>
      </w:r>
      <w:r>
        <w:rPr>
          <w:sz w:val="28"/>
          <w:szCs w:val="28"/>
          <w:lang w:val="uk-UA"/>
        </w:rPr>
        <w:t xml:space="preserve"> І. </w:t>
      </w:r>
      <w:r w:rsidRPr="001D2E1E">
        <w:rPr>
          <w:sz w:val="28"/>
          <w:szCs w:val="28"/>
          <w:lang w:val="uk-UA"/>
        </w:rPr>
        <w:t xml:space="preserve">Байденко, </w:t>
      </w:r>
      <w:r w:rsidRPr="001D2E1E">
        <w:rPr>
          <w:sz w:val="28"/>
          <w:szCs w:val="28"/>
          <w:shd w:val="clear" w:color="auto" w:fill="FFFFFF"/>
          <w:lang w:val="uk-UA"/>
        </w:rPr>
        <w:t xml:space="preserve">однією з головних вимог до змісту формування дослідницьких умінь учнів є комплексний підхід до навчання, оскільки навчання буде найбільш ефективним у тому випадку, якщо буде вестися комплексно, пронизувати різні теми [1, с. 1]. </w:t>
      </w:r>
    </w:p>
    <w:p w:rsidR="0091210C" w:rsidRPr="001D2E1E" w:rsidRDefault="0091210C" w:rsidP="002F0807">
      <w:pPr>
        <w:pStyle w:val="NormalWeb"/>
        <w:shd w:val="clear" w:color="auto" w:fill="FFFFFF"/>
        <w:spacing w:line="360" w:lineRule="auto"/>
        <w:ind w:firstLine="709"/>
        <w:contextualSpacing/>
        <w:jc w:val="both"/>
        <w:rPr>
          <w:sz w:val="28"/>
          <w:szCs w:val="28"/>
          <w:lang w:val="uk-UA"/>
        </w:rPr>
      </w:pPr>
      <w:r w:rsidRPr="001D2E1E">
        <w:rPr>
          <w:sz w:val="28"/>
          <w:szCs w:val="28"/>
          <w:lang w:val="uk-UA"/>
        </w:rPr>
        <w:t xml:space="preserve">Комунікативність включає в себе індивідуалізацію навчання мовленнєвої діяльності, під якою розуміється облік всіх властивостей учня як індивідуальності: його здібностей, його вмінь здійснювати мовленнєву та навчальну діяльність і головним чином його особистісних властивостей. Можна без перебільшення сказати, що для комунікативного методу індивідуалізація є головним засобом створення мотивації та активності. При навчанні іншомовної мовленнєвої діяльності індивідуальна реакція можлива лише в тому випадку, якщо стоїть перед учнем мовна завдання буде відповідати його потребам та інтересам як особистості. Тому для виклику адекватної реакції необхідний облік індивідуальних і, насамперед особистісних властивостей студентів: життєвого досвіду, контексту діяльності, сфери інтересів, схильностей, емоційної сфери, світогляду, нарешті, статусу даної особистості в колективі. </w:t>
      </w:r>
    </w:p>
    <w:p w:rsidR="0091210C" w:rsidRPr="001D2E1E" w:rsidRDefault="0091210C" w:rsidP="002F0807">
      <w:pPr>
        <w:pStyle w:val="NormalWeb"/>
        <w:shd w:val="clear" w:color="auto" w:fill="FFFFFF"/>
        <w:spacing w:before="0" w:beforeAutospacing="0" w:after="0" w:afterAutospacing="0" w:line="360" w:lineRule="auto"/>
        <w:ind w:firstLine="709"/>
        <w:contextualSpacing/>
        <w:jc w:val="both"/>
        <w:rPr>
          <w:sz w:val="28"/>
          <w:szCs w:val="28"/>
          <w:lang w:val="uk-UA"/>
        </w:rPr>
      </w:pPr>
      <w:r w:rsidRPr="001D2E1E">
        <w:rPr>
          <w:sz w:val="28"/>
          <w:szCs w:val="28"/>
          <w:lang w:val="uk-UA"/>
        </w:rPr>
        <w:t>Подібний підхід гарантує істинну мотивацію, а також справжню, внутрішню (а не зовнішню, часто чисто формальну), активність студента. Зовнішня активність найчастіше виникає від так званої активізації аудиторії, залучення студентів до участі в бесіді при наявності внутрішньої активності не потрібно ніяких додаткових прийомів активізації, бо студент вирішує мовленнєве завдання, яка зачіпає його як особистість і сам охоче вступає в контакт.</w:t>
      </w:r>
    </w:p>
    <w:p w:rsidR="0091210C" w:rsidRPr="001D2E1E" w:rsidRDefault="0091210C" w:rsidP="0063754D">
      <w:pPr>
        <w:pStyle w:val="NormalWeb"/>
        <w:shd w:val="clear" w:color="auto" w:fill="FFFFFF"/>
        <w:spacing w:before="0" w:beforeAutospacing="0" w:after="0" w:afterAutospacing="0" w:line="360" w:lineRule="auto"/>
        <w:ind w:firstLine="709"/>
        <w:contextualSpacing/>
        <w:jc w:val="both"/>
        <w:rPr>
          <w:sz w:val="28"/>
          <w:szCs w:val="28"/>
          <w:lang w:val="uk-UA"/>
        </w:rPr>
      </w:pPr>
      <w:r w:rsidRPr="001D2E1E">
        <w:rPr>
          <w:sz w:val="28"/>
          <w:szCs w:val="28"/>
          <w:lang w:val="uk-UA"/>
        </w:rPr>
        <w:t>Практичні заняття відіграють важливу роль у формуванні професійної компетенції, рівня сформованості практичних умінь та навичок. Зараз використовуються як традиційні форми та методики проведення занять, так нові, які спрямовані на розвиток здібностей, формуванню умінь та навичок, активізацію навчально-пізнавальної діяльності. Також використані педагогічні прийоми та спеціальні форми проведення занять, серед яких професійні тренінги та тьюторські заняття. В традиційній системі навчання тьюторіали (семінари) поки що не знайшли широкого застосування. Ця форма навчання переважно використовується при індивідуальному та дистанційному навчанні.</w:t>
      </w:r>
    </w:p>
    <w:p w:rsidR="0091210C" w:rsidRPr="001D2E1E" w:rsidRDefault="0091210C" w:rsidP="0063754D">
      <w:pPr>
        <w:pStyle w:val="NormalWeb"/>
        <w:shd w:val="clear" w:color="auto" w:fill="FFFFFF"/>
        <w:spacing w:before="0" w:beforeAutospacing="0" w:after="0" w:afterAutospacing="0" w:line="360" w:lineRule="auto"/>
        <w:ind w:firstLine="709"/>
        <w:contextualSpacing/>
        <w:jc w:val="both"/>
        <w:rPr>
          <w:sz w:val="28"/>
          <w:szCs w:val="28"/>
          <w:lang w:val="uk-UA"/>
        </w:rPr>
      </w:pPr>
      <w:r w:rsidRPr="001D2E1E">
        <w:rPr>
          <w:sz w:val="28"/>
          <w:szCs w:val="28"/>
          <w:lang w:val="uk-UA"/>
        </w:rPr>
        <w:t xml:space="preserve"> Зазначені форми та методи сприяють не тільки формуванню організаційних, комунікативних, збутових, дослідницьких, просвітницьких умінь із дисципліни, вони формують позитивні якості студентів: здібність адаптуватися в колективі, налагодити контакти, обмінюватися інформацією, висловлювати власну думку і відстоювати (при необхідності) свою позицію, правильно розподіляти функції між учасниками; уміння аналізувати свої дії та інших. Перевага тренінгу перед традиційними формами навчання в тому, що за короткий відрізок часу, необхідний для одержання повноцінного результату, формуються знання, уміння та навички, співробітництво між колегами, багатоваріантність у вирішенні завдань, критичне мислення тощо. Ігровий момент занять,  акценти на вирішення практичних завдань сприяють мобілізації здібностей всіх учасників тренінгу. </w:t>
      </w:r>
    </w:p>
    <w:p w:rsidR="0091210C" w:rsidRPr="001D2E1E" w:rsidRDefault="0091210C" w:rsidP="001B709A">
      <w:pPr>
        <w:pStyle w:val="NormalWeb"/>
        <w:shd w:val="clear" w:color="auto" w:fill="FFFFFF"/>
        <w:spacing w:before="0" w:beforeAutospacing="0" w:after="0" w:afterAutospacing="0" w:line="360" w:lineRule="auto"/>
        <w:ind w:firstLine="709"/>
        <w:contextualSpacing/>
        <w:jc w:val="both"/>
        <w:rPr>
          <w:sz w:val="28"/>
          <w:szCs w:val="28"/>
          <w:lang w:val="uk-UA"/>
        </w:rPr>
      </w:pPr>
      <w:r w:rsidRPr="001D2E1E">
        <w:rPr>
          <w:sz w:val="28"/>
          <w:szCs w:val="28"/>
          <w:lang w:val="uk-UA"/>
        </w:rPr>
        <w:t>Ділові ігри та професійні тренінги – це ігрові заняття, які розвивають теоретичне та практичне мислення спеціаліста. Виконуючи роль, яка передбачена сценарієм, у студента підвищується мотивація у навчанні, він набуває досвід пізнавальної та професійної діяльності. Під час ділових ігор створюється такий емоційний настрій та атмосфера, яка підвищує зацікавленість до проблеми, яка вирішується; активізується творча атмосфера,  забезпечується високий рівень сформованості професійних умінь та навичок.</w:t>
      </w:r>
    </w:p>
    <w:p w:rsidR="0091210C" w:rsidRPr="001D2E1E" w:rsidRDefault="0091210C" w:rsidP="001B709A">
      <w:pPr>
        <w:shd w:val="clear" w:color="auto" w:fill="FFFFFF"/>
        <w:contextualSpacing/>
        <w:rPr>
          <w:lang w:val="uk-UA" w:eastAsia="ru-RU"/>
        </w:rPr>
      </w:pPr>
      <w:r w:rsidRPr="001D2E1E">
        <w:rPr>
          <w:lang w:val="uk-UA" w:eastAsia="ru-RU"/>
        </w:rPr>
        <w:t>Практична значимість зводиться до того, щоб процес формування професійних умінь був значно швидший. При цьому, необхідно зазначити, що особливий інтерес представляють шляхи, за допомогою яких можна досягти найкращих результатів, зіставлення та порівняння між собою інтерактивних та комутативних засобів засвоєння знань і практичне застування при роботі з майбутніми фахівцями.</w:t>
      </w:r>
    </w:p>
    <w:p w:rsidR="0091210C" w:rsidRDefault="0091210C" w:rsidP="00AE755A">
      <w:pPr>
        <w:contextualSpacing/>
        <w:rPr>
          <w:lang w:val="uk-UA"/>
        </w:rPr>
      </w:pPr>
      <w:r w:rsidRPr="001D2E1E">
        <w:t xml:space="preserve">Мовленнєва діяльність характеризується своєю фазною побудовою. Найдоцільнішим </w:t>
      </w:r>
      <w:r>
        <w:t>прийнято вважати твердження І.</w:t>
      </w:r>
      <w:r>
        <w:rPr>
          <w:lang w:val="uk-UA"/>
        </w:rPr>
        <w:t xml:space="preserve">О. </w:t>
      </w:r>
      <w:r w:rsidRPr="001D2E1E">
        <w:t>Зимньої щодо трифазності будь-якої людської діяльності, зокрема і мовленнєвої.</w:t>
      </w:r>
      <w:r w:rsidRPr="00DF28C3">
        <w:rPr>
          <w:rFonts w:ascii="Tahoma" w:hAnsi="Tahoma" w:cs="Tahoma"/>
          <w:color w:val="424242"/>
          <w:sz w:val="21"/>
          <w:szCs w:val="21"/>
          <w:shd w:val="clear" w:color="auto" w:fill="FFFFFF"/>
        </w:rPr>
        <w:t xml:space="preserve"> </w:t>
      </w:r>
      <w:r w:rsidRPr="001D2E1E">
        <w:t>Зміст трифазності розкривають спонукально-мотиваційна, орієнтовно-дослідницька та виконавча фази</w:t>
      </w:r>
      <w:r>
        <w:rPr>
          <w:lang w:val="uk-UA"/>
        </w:rPr>
        <w:t>.</w:t>
      </w:r>
      <w:r w:rsidRPr="001D2E1E">
        <w:t> [</w:t>
      </w:r>
      <w:r w:rsidRPr="001D2E1E">
        <w:rPr>
          <w:lang w:val="uk-UA"/>
        </w:rPr>
        <w:t>3</w:t>
      </w:r>
      <w:r w:rsidRPr="001D2E1E">
        <w:t xml:space="preserve">, c. 130]. </w:t>
      </w:r>
    </w:p>
    <w:p w:rsidR="0091210C" w:rsidRPr="00DF28C3" w:rsidRDefault="0091210C" w:rsidP="008C00CB">
      <w:pPr>
        <w:pStyle w:val="NormalWeb"/>
        <w:spacing w:before="0" w:beforeAutospacing="0" w:after="0" w:afterAutospacing="0" w:line="360" w:lineRule="auto"/>
        <w:ind w:firstLine="709"/>
        <w:contextualSpacing/>
        <w:jc w:val="both"/>
        <w:rPr>
          <w:iCs/>
          <w:sz w:val="28"/>
          <w:szCs w:val="28"/>
          <w:shd w:val="clear" w:color="auto" w:fill="FFFFFF"/>
          <w:lang w:val="uk-UA"/>
        </w:rPr>
      </w:pPr>
      <w:r w:rsidRPr="00DF28C3">
        <w:rPr>
          <w:iCs/>
          <w:sz w:val="28"/>
          <w:szCs w:val="28"/>
          <w:shd w:val="clear" w:color="auto" w:fill="FFFFFF"/>
          <w:lang w:val="uk-UA"/>
        </w:rPr>
        <w:t>Леонтьєв О.О.</w:t>
      </w:r>
      <w:r>
        <w:rPr>
          <w:iCs/>
          <w:sz w:val="28"/>
          <w:szCs w:val="28"/>
          <w:shd w:val="clear" w:color="auto" w:fill="FFFFFF"/>
          <w:lang w:val="uk-UA"/>
        </w:rPr>
        <w:t xml:space="preserve"> </w:t>
      </w:r>
      <w:r w:rsidRPr="00DF28C3">
        <w:rPr>
          <w:iCs/>
          <w:sz w:val="28"/>
          <w:szCs w:val="28"/>
          <w:shd w:val="clear" w:color="auto" w:fill="FFFFFF"/>
          <w:lang w:val="uk-UA"/>
        </w:rPr>
        <w:t>вважає, що мовленнєва діяльність має місце рідко, лише, коли ціль діяльності – породження висловлення, коли мовлення самоцінне. В інших випадках використання мови передбачає немовленнєву ціль, і тоді мовлення – не самостійна діяльність, а сукупність мовленнєвих дій, підпорядкованих цілі власне діяльності.[</w:t>
      </w:r>
      <w:r>
        <w:rPr>
          <w:iCs/>
          <w:sz w:val="28"/>
          <w:szCs w:val="28"/>
          <w:shd w:val="clear" w:color="auto" w:fill="FFFFFF"/>
          <w:lang w:val="uk-UA"/>
        </w:rPr>
        <w:t>7</w:t>
      </w:r>
      <w:r w:rsidRPr="00DF28C3">
        <w:rPr>
          <w:iCs/>
          <w:sz w:val="28"/>
          <w:szCs w:val="28"/>
          <w:shd w:val="clear" w:color="auto" w:fill="FFFFFF"/>
          <w:lang w:val="uk-UA"/>
        </w:rPr>
        <w:t>, с. 26]</w:t>
      </w:r>
    </w:p>
    <w:p w:rsidR="0091210C" w:rsidRPr="001D2E1E" w:rsidRDefault="0091210C" w:rsidP="008C5AF9">
      <w:pPr>
        <w:contextualSpacing/>
      </w:pPr>
      <w:r w:rsidRPr="001D2E1E">
        <w:t>Отже, джерелом мовленнєвої діяльності є комунікативно-пізнавальна потреба. Ця потреба, реалізуючи себе в предметі мовленнєвої діяльності, яким є думка, і стає внутрішнім комунікативно-пізнавальним мотивом цієї діяльності.</w:t>
      </w:r>
      <w:r>
        <w:rPr>
          <w:lang w:val="uk-UA"/>
        </w:rPr>
        <w:t xml:space="preserve"> </w:t>
      </w:r>
      <w:r w:rsidRPr="001D2E1E">
        <w:rPr>
          <w:lang w:val="uk-UA"/>
        </w:rPr>
        <w:t>М</w:t>
      </w:r>
      <w:r w:rsidRPr="001D2E1E">
        <w:t>овленнєва діяльність є основни</w:t>
      </w:r>
      <w:r>
        <w:rPr>
          <w:lang w:val="uk-UA"/>
        </w:rPr>
        <w:t>м</w:t>
      </w:r>
      <w:r w:rsidRPr="001D2E1E">
        <w:t xml:space="preserve"> та універсальни</w:t>
      </w:r>
      <w:r>
        <w:rPr>
          <w:lang w:val="uk-UA"/>
        </w:rPr>
        <w:t>м</w:t>
      </w:r>
      <w:r w:rsidRPr="001D2E1E">
        <w:t xml:space="preserve"> зас</w:t>
      </w:r>
      <w:r>
        <w:rPr>
          <w:lang w:val="uk-UA"/>
        </w:rPr>
        <w:t>о</w:t>
      </w:r>
      <w:r w:rsidRPr="001D2E1E">
        <w:t>б</w:t>
      </w:r>
      <w:r>
        <w:rPr>
          <w:lang w:val="uk-UA"/>
        </w:rPr>
        <w:t>ом</w:t>
      </w:r>
      <w:r w:rsidRPr="001D2E1E">
        <w:t xml:space="preserve"> спілкування між людьми в людському середовищі, основним засобом комунікації. Завдяки мовленнєвій діяльності особистість набуває суспільно-історичного досвіду. Крім цього, мовленнєва діяльність – основний засіб пізнання людиною навколишнього світу, обов’язкова умова пізнавальної діяльності будь-якої особистості. Нарешті, мовленнєва діяльність відіграє суттєву роль у всій психічній інтелектуальній діяльності людини, беручи участь у процесах пізнання, творчості та в всіх видах мислення. </w:t>
      </w:r>
    </w:p>
    <w:p w:rsidR="0091210C" w:rsidRDefault="0091210C" w:rsidP="00543F7D">
      <w:pPr>
        <w:contextualSpacing/>
        <w:jc w:val="left"/>
        <w:rPr>
          <w:lang w:val="uk-UA"/>
        </w:rPr>
      </w:pPr>
    </w:p>
    <w:p w:rsidR="0091210C" w:rsidRPr="00421BFD" w:rsidRDefault="0091210C" w:rsidP="00543F7D">
      <w:pPr>
        <w:contextualSpacing/>
        <w:jc w:val="left"/>
        <w:rPr>
          <w:b/>
          <w:lang w:val="uk-UA"/>
        </w:rPr>
      </w:pPr>
      <w:r w:rsidRPr="00421BFD">
        <w:rPr>
          <w:b/>
          <w:lang w:val="uk-UA"/>
        </w:rPr>
        <w:t>Література:</w:t>
      </w:r>
    </w:p>
    <w:p w:rsidR="0091210C" w:rsidRPr="00271778" w:rsidRDefault="0091210C" w:rsidP="008C00CB">
      <w:pPr>
        <w:numPr>
          <w:ilvl w:val="0"/>
          <w:numId w:val="13"/>
        </w:numPr>
        <w:tabs>
          <w:tab w:val="left" w:pos="1080"/>
        </w:tabs>
        <w:spacing w:line="240" w:lineRule="auto"/>
        <w:ind w:firstLine="360"/>
        <w:contextualSpacing/>
        <w:rPr>
          <w:sz w:val="24"/>
          <w:szCs w:val="24"/>
          <w:lang w:val="uk-UA"/>
        </w:rPr>
      </w:pPr>
      <w:r w:rsidRPr="00271778">
        <w:rPr>
          <w:bCs/>
          <w:sz w:val="24"/>
          <w:szCs w:val="24"/>
          <w:shd w:val="clear" w:color="auto" w:fill="FFFFFF"/>
        </w:rPr>
        <w:t>Байденко</w:t>
      </w:r>
      <w:r w:rsidRPr="00271778">
        <w:rPr>
          <w:sz w:val="24"/>
          <w:szCs w:val="24"/>
          <w:shd w:val="clear" w:color="auto" w:fill="FFFFFF"/>
        </w:rPr>
        <w:t> </w:t>
      </w:r>
      <w:r w:rsidRPr="00271778">
        <w:rPr>
          <w:bCs/>
          <w:sz w:val="24"/>
          <w:szCs w:val="24"/>
          <w:shd w:val="clear" w:color="auto" w:fill="FFFFFF"/>
        </w:rPr>
        <w:t>В</w:t>
      </w:r>
      <w:r w:rsidRPr="00271778">
        <w:rPr>
          <w:sz w:val="24"/>
          <w:szCs w:val="24"/>
          <w:shd w:val="clear" w:color="auto" w:fill="FFFFFF"/>
        </w:rPr>
        <w:t>.</w:t>
      </w:r>
      <w:r w:rsidRPr="00271778">
        <w:rPr>
          <w:bCs/>
          <w:sz w:val="24"/>
          <w:szCs w:val="24"/>
          <w:shd w:val="clear" w:color="auto" w:fill="FFFFFF"/>
        </w:rPr>
        <w:t>И</w:t>
      </w:r>
      <w:r w:rsidRPr="00271778">
        <w:rPr>
          <w:sz w:val="24"/>
          <w:szCs w:val="24"/>
          <w:shd w:val="clear" w:color="auto" w:fill="FFFFFF"/>
        </w:rPr>
        <w:t>. Болонский процесс: Курс лекций</w:t>
      </w:r>
      <w:r w:rsidRPr="00271778">
        <w:rPr>
          <w:sz w:val="24"/>
          <w:szCs w:val="24"/>
          <w:shd w:val="clear" w:color="auto" w:fill="FFFFFF"/>
          <w:lang w:val="uk-UA"/>
        </w:rPr>
        <w:t xml:space="preserve"> / В. И. Байденко</w:t>
      </w:r>
      <w:r w:rsidRPr="00271778">
        <w:rPr>
          <w:sz w:val="24"/>
          <w:szCs w:val="24"/>
          <w:shd w:val="clear" w:color="auto" w:fill="FFFFFF"/>
        </w:rPr>
        <w:t>. – М.: Логос, 2004. – 208 с. 2. </w:t>
      </w:r>
    </w:p>
    <w:p w:rsidR="0091210C" w:rsidRPr="00271778" w:rsidRDefault="0091210C" w:rsidP="008C00CB">
      <w:pPr>
        <w:numPr>
          <w:ilvl w:val="0"/>
          <w:numId w:val="13"/>
        </w:numPr>
        <w:shd w:val="clear" w:color="auto" w:fill="FFFFFF"/>
        <w:tabs>
          <w:tab w:val="left" w:pos="1080"/>
        </w:tabs>
        <w:spacing w:after="180" w:line="240" w:lineRule="auto"/>
        <w:ind w:firstLine="360"/>
        <w:contextualSpacing/>
        <w:rPr>
          <w:sz w:val="24"/>
          <w:szCs w:val="24"/>
          <w:lang w:eastAsia="ru-RU"/>
        </w:rPr>
      </w:pPr>
      <w:r w:rsidRPr="00271778">
        <w:rPr>
          <w:sz w:val="24"/>
          <w:szCs w:val="24"/>
          <w:lang w:eastAsia="ru-RU"/>
        </w:rPr>
        <w:t>Беспалько В. П. Татур Ю. Р. Системно-методичне забезпечення навчально-виховного процесу підготовки фахівця / В. П. Беспалько, Ю. Р. Татур. – М. 1989.</w:t>
      </w:r>
    </w:p>
    <w:p w:rsidR="0091210C" w:rsidRPr="00271778" w:rsidRDefault="0091210C" w:rsidP="008C00CB">
      <w:pPr>
        <w:numPr>
          <w:ilvl w:val="0"/>
          <w:numId w:val="13"/>
        </w:numPr>
        <w:tabs>
          <w:tab w:val="left" w:pos="1080"/>
        </w:tabs>
        <w:spacing w:line="240" w:lineRule="auto"/>
        <w:ind w:firstLine="360"/>
        <w:contextualSpacing/>
        <w:rPr>
          <w:sz w:val="24"/>
          <w:szCs w:val="24"/>
        </w:rPr>
      </w:pPr>
      <w:r w:rsidRPr="00271778">
        <w:rPr>
          <w:sz w:val="24"/>
          <w:szCs w:val="24"/>
        </w:rPr>
        <w:t>Зимняя И. А. Лингвопсихология речевой деятельности / И. А. Зимняя. – Воронеж : НПО “МОДЭК”, 2001. 432 с.</w:t>
      </w:r>
    </w:p>
    <w:p w:rsidR="0091210C" w:rsidRPr="00271778" w:rsidRDefault="0091210C" w:rsidP="008C00CB">
      <w:pPr>
        <w:numPr>
          <w:ilvl w:val="0"/>
          <w:numId w:val="13"/>
        </w:numPr>
        <w:tabs>
          <w:tab w:val="left" w:pos="1080"/>
        </w:tabs>
        <w:spacing w:line="240" w:lineRule="auto"/>
        <w:ind w:firstLine="360"/>
        <w:contextualSpacing/>
        <w:rPr>
          <w:sz w:val="24"/>
          <w:szCs w:val="24"/>
          <w:lang w:val="uk-UA"/>
        </w:rPr>
      </w:pPr>
      <w:r w:rsidRPr="00271778">
        <w:rPr>
          <w:sz w:val="24"/>
          <w:szCs w:val="24"/>
          <w:lang w:val="uk-UA"/>
        </w:rPr>
        <w:t>Козлова, С.А. Дошкольная педагогика: Учебник для студентов учреждений среднего профессионального образования / С.А. Козлова, Т.А. Куликова. - М.: ИЦ Академия, 2012. - 416 c.</w:t>
      </w:r>
    </w:p>
    <w:p w:rsidR="0091210C" w:rsidRPr="00271778" w:rsidRDefault="0091210C" w:rsidP="008C00CB">
      <w:pPr>
        <w:numPr>
          <w:ilvl w:val="0"/>
          <w:numId w:val="13"/>
        </w:numPr>
        <w:tabs>
          <w:tab w:val="left" w:pos="1080"/>
        </w:tabs>
        <w:spacing w:line="240" w:lineRule="auto"/>
        <w:ind w:firstLine="360"/>
        <w:contextualSpacing/>
        <w:rPr>
          <w:sz w:val="24"/>
          <w:szCs w:val="24"/>
          <w:lang w:val="uk-UA"/>
        </w:rPr>
      </w:pPr>
      <w:r w:rsidRPr="00271778">
        <w:rPr>
          <w:sz w:val="24"/>
          <w:szCs w:val="24"/>
          <w:lang w:val="uk-UA"/>
        </w:rPr>
        <w:t>Костюк Г. С. Принцип развития в психологии (Хрестоматия по возрастной психологии: Учеб. пос. / Под ред. Д.И. Фельдштейна – М., Воронеж, 2003-504 с.</w:t>
      </w:r>
    </w:p>
    <w:p w:rsidR="0091210C" w:rsidRPr="00271778" w:rsidRDefault="0091210C" w:rsidP="008C00CB">
      <w:pPr>
        <w:numPr>
          <w:ilvl w:val="0"/>
          <w:numId w:val="13"/>
        </w:numPr>
        <w:tabs>
          <w:tab w:val="left" w:pos="1080"/>
        </w:tabs>
        <w:spacing w:line="240" w:lineRule="auto"/>
        <w:ind w:firstLine="360"/>
        <w:contextualSpacing/>
        <w:rPr>
          <w:sz w:val="24"/>
          <w:szCs w:val="24"/>
          <w:lang w:val="uk-UA"/>
        </w:rPr>
      </w:pPr>
      <w:r w:rsidRPr="00271778">
        <w:rPr>
          <w:sz w:val="24"/>
          <w:szCs w:val="24"/>
          <w:lang w:val="uk-UA"/>
        </w:rPr>
        <w:t>Кравцова, Е.Е. Психология и педагогика. Краткий курс / Е.Е. Кравцова. - М.: Проспект, 2016. - 320 c.</w:t>
      </w:r>
    </w:p>
    <w:p w:rsidR="0091210C" w:rsidRPr="00271778" w:rsidRDefault="0091210C" w:rsidP="008C00CB">
      <w:pPr>
        <w:numPr>
          <w:ilvl w:val="0"/>
          <w:numId w:val="13"/>
        </w:numPr>
        <w:tabs>
          <w:tab w:val="left" w:pos="1080"/>
        </w:tabs>
        <w:spacing w:line="240" w:lineRule="auto"/>
        <w:ind w:firstLine="360"/>
        <w:contextualSpacing/>
        <w:rPr>
          <w:sz w:val="24"/>
          <w:szCs w:val="24"/>
          <w:lang w:val="uk-UA"/>
        </w:rPr>
      </w:pPr>
      <w:r w:rsidRPr="00271778">
        <w:rPr>
          <w:sz w:val="24"/>
          <w:szCs w:val="24"/>
          <w:lang w:val="uk-UA"/>
        </w:rPr>
        <w:t>Леонтьев А. А. Педагогическое общение / А. А. Леонтьев. – М. : Знание,1979. – 48 с.</w:t>
      </w:r>
    </w:p>
    <w:p w:rsidR="0091210C" w:rsidRPr="00271778" w:rsidRDefault="0091210C" w:rsidP="008C00CB">
      <w:pPr>
        <w:numPr>
          <w:ilvl w:val="0"/>
          <w:numId w:val="13"/>
        </w:numPr>
        <w:tabs>
          <w:tab w:val="left" w:pos="1080"/>
        </w:tabs>
        <w:spacing w:line="240" w:lineRule="auto"/>
        <w:ind w:firstLine="360"/>
        <w:contextualSpacing/>
        <w:rPr>
          <w:sz w:val="24"/>
          <w:szCs w:val="24"/>
          <w:lang w:val="uk-UA"/>
        </w:rPr>
      </w:pPr>
      <w:r w:rsidRPr="00271778">
        <w:rPr>
          <w:bCs/>
          <w:sz w:val="24"/>
          <w:szCs w:val="24"/>
          <w:shd w:val="clear" w:color="auto" w:fill="FFFFFF"/>
        </w:rPr>
        <w:t>Рубинштейн</w:t>
      </w:r>
      <w:r w:rsidRPr="00271778">
        <w:rPr>
          <w:sz w:val="24"/>
          <w:szCs w:val="24"/>
          <w:shd w:val="clear" w:color="auto" w:fill="FFFFFF"/>
        </w:rPr>
        <w:t> С. </w:t>
      </w:r>
      <w:r w:rsidRPr="00271778">
        <w:rPr>
          <w:bCs/>
          <w:sz w:val="24"/>
          <w:szCs w:val="24"/>
          <w:shd w:val="clear" w:color="auto" w:fill="FFFFFF"/>
        </w:rPr>
        <w:t>Л</w:t>
      </w:r>
      <w:r w:rsidRPr="00271778">
        <w:rPr>
          <w:sz w:val="24"/>
          <w:szCs w:val="24"/>
          <w:shd w:val="clear" w:color="auto" w:fill="FFFFFF"/>
        </w:rPr>
        <w:t>. </w:t>
      </w:r>
      <w:r w:rsidRPr="00271778">
        <w:rPr>
          <w:bCs/>
          <w:sz w:val="24"/>
          <w:szCs w:val="24"/>
          <w:shd w:val="clear" w:color="auto" w:fill="FFFFFF"/>
        </w:rPr>
        <w:t>Основы</w:t>
      </w:r>
      <w:r w:rsidRPr="00271778">
        <w:rPr>
          <w:sz w:val="24"/>
          <w:szCs w:val="24"/>
          <w:shd w:val="clear" w:color="auto" w:fill="FFFFFF"/>
        </w:rPr>
        <w:t> </w:t>
      </w:r>
      <w:r w:rsidRPr="00271778">
        <w:rPr>
          <w:bCs/>
          <w:sz w:val="24"/>
          <w:szCs w:val="24"/>
          <w:shd w:val="clear" w:color="auto" w:fill="FFFFFF"/>
        </w:rPr>
        <w:t>общей</w:t>
      </w:r>
      <w:r w:rsidRPr="00271778">
        <w:rPr>
          <w:sz w:val="24"/>
          <w:szCs w:val="24"/>
          <w:shd w:val="clear" w:color="auto" w:fill="FFFFFF"/>
        </w:rPr>
        <w:t> </w:t>
      </w:r>
      <w:r w:rsidRPr="00271778">
        <w:rPr>
          <w:bCs/>
          <w:sz w:val="24"/>
          <w:szCs w:val="24"/>
          <w:shd w:val="clear" w:color="auto" w:fill="FFFFFF"/>
        </w:rPr>
        <w:t>психологи</w:t>
      </w:r>
      <w:r w:rsidRPr="00271778">
        <w:rPr>
          <w:bCs/>
          <w:sz w:val="24"/>
          <w:szCs w:val="24"/>
          <w:shd w:val="clear" w:color="auto" w:fill="FFFFFF"/>
          <w:lang w:val="uk-UA"/>
        </w:rPr>
        <w:t xml:space="preserve"> </w:t>
      </w:r>
      <w:r w:rsidRPr="00271778">
        <w:rPr>
          <w:sz w:val="24"/>
          <w:szCs w:val="24"/>
          <w:shd w:val="clear" w:color="auto" w:fill="FFFFFF"/>
          <w:lang w:val="uk-UA"/>
        </w:rPr>
        <w:t>/ Л.С. Рубинштейн.</w:t>
      </w:r>
      <w:r w:rsidRPr="00271778">
        <w:rPr>
          <w:sz w:val="24"/>
          <w:szCs w:val="24"/>
          <w:shd w:val="clear" w:color="auto" w:fill="FFFFFF"/>
        </w:rPr>
        <w:t>- СПб: Издательство «Питер», 2000 - 712 с</w:t>
      </w:r>
      <w:r w:rsidRPr="00271778">
        <w:rPr>
          <w:sz w:val="24"/>
          <w:szCs w:val="24"/>
          <w:shd w:val="clear" w:color="auto" w:fill="FFFFFF"/>
          <w:lang w:val="uk-UA"/>
        </w:rPr>
        <w:t>.</w:t>
      </w:r>
    </w:p>
    <w:p w:rsidR="0091210C" w:rsidRPr="00271778" w:rsidRDefault="0091210C" w:rsidP="008C00CB">
      <w:pPr>
        <w:numPr>
          <w:ilvl w:val="0"/>
          <w:numId w:val="13"/>
        </w:numPr>
        <w:tabs>
          <w:tab w:val="left" w:pos="1080"/>
        </w:tabs>
        <w:spacing w:line="240" w:lineRule="auto"/>
        <w:ind w:firstLine="360"/>
        <w:contextualSpacing/>
        <w:rPr>
          <w:sz w:val="24"/>
          <w:szCs w:val="24"/>
          <w:lang w:val="uk-UA"/>
        </w:rPr>
      </w:pPr>
      <w:r w:rsidRPr="00271778">
        <w:rPr>
          <w:sz w:val="24"/>
          <w:szCs w:val="24"/>
        </w:rPr>
        <w:t>Рубинштейн, М. М. Проблема учителя: учеб. пособие для студ. высш. пед. учеб. заведений / М. М. Рубинштейн; под ред. В. А. Сластёнина. – М.: Издательский центр «Академия», 2004</w:t>
      </w:r>
      <w:r w:rsidRPr="00271778">
        <w:rPr>
          <w:sz w:val="24"/>
          <w:szCs w:val="24"/>
          <w:lang w:val="uk-UA"/>
        </w:rPr>
        <w:t xml:space="preserve"> – 210 с</w:t>
      </w:r>
      <w:r w:rsidRPr="00271778">
        <w:rPr>
          <w:sz w:val="24"/>
          <w:szCs w:val="24"/>
        </w:rPr>
        <w:t>.</w:t>
      </w:r>
    </w:p>
    <w:p w:rsidR="0091210C" w:rsidRPr="00271778" w:rsidRDefault="0091210C" w:rsidP="008C00CB">
      <w:pPr>
        <w:numPr>
          <w:ilvl w:val="0"/>
          <w:numId w:val="13"/>
        </w:numPr>
        <w:tabs>
          <w:tab w:val="left" w:pos="1080"/>
        </w:tabs>
        <w:spacing w:line="240" w:lineRule="auto"/>
        <w:ind w:firstLine="360"/>
        <w:contextualSpacing/>
        <w:rPr>
          <w:sz w:val="24"/>
          <w:szCs w:val="24"/>
          <w:lang w:val="uk-UA"/>
        </w:rPr>
      </w:pPr>
      <w:r w:rsidRPr="00271778">
        <w:rPr>
          <w:sz w:val="24"/>
          <w:szCs w:val="24"/>
          <w:shd w:val="clear" w:color="auto" w:fill="FFFFFF"/>
        </w:rPr>
        <w:t> </w:t>
      </w:r>
      <w:r w:rsidRPr="00271778">
        <w:rPr>
          <w:bCs/>
          <w:sz w:val="24"/>
          <w:szCs w:val="24"/>
          <w:shd w:val="clear" w:color="auto" w:fill="FFFFFF"/>
        </w:rPr>
        <w:t>Шадриков</w:t>
      </w:r>
      <w:r w:rsidRPr="00271778">
        <w:rPr>
          <w:sz w:val="24"/>
          <w:szCs w:val="24"/>
          <w:shd w:val="clear" w:color="auto" w:fill="FFFFFF"/>
        </w:rPr>
        <w:t> </w:t>
      </w:r>
      <w:r w:rsidRPr="00271778">
        <w:rPr>
          <w:bCs/>
          <w:sz w:val="24"/>
          <w:szCs w:val="24"/>
          <w:shd w:val="clear" w:color="auto" w:fill="FFFFFF"/>
        </w:rPr>
        <w:t>В</w:t>
      </w:r>
      <w:r w:rsidRPr="00271778">
        <w:rPr>
          <w:sz w:val="24"/>
          <w:szCs w:val="24"/>
          <w:shd w:val="clear" w:color="auto" w:fill="FFFFFF"/>
        </w:rPr>
        <w:t>. </w:t>
      </w:r>
      <w:r w:rsidRPr="00271778">
        <w:rPr>
          <w:bCs/>
          <w:sz w:val="24"/>
          <w:szCs w:val="24"/>
          <w:shd w:val="clear" w:color="auto" w:fill="FFFFFF"/>
        </w:rPr>
        <w:t>Д</w:t>
      </w:r>
      <w:r w:rsidRPr="00271778">
        <w:rPr>
          <w:sz w:val="24"/>
          <w:szCs w:val="24"/>
          <w:shd w:val="clear" w:color="auto" w:fill="FFFFFF"/>
        </w:rPr>
        <w:t>., Мазилов В. А. Общая психология: Учебник для академического бакалавриата.</w:t>
      </w:r>
      <w:r w:rsidRPr="00271778">
        <w:rPr>
          <w:sz w:val="24"/>
          <w:szCs w:val="24"/>
          <w:shd w:val="clear" w:color="auto" w:fill="FFFFFF"/>
          <w:lang w:val="uk-UA"/>
        </w:rPr>
        <w:t xml:space="preserve">/ В. Д. Шадриков, В. А. Мазилов </w:t>
      </w:r>
      <w:r w:rsidRPr="00271778">
        <w:rPr>
          <w:sz w:val="24"/>
          <w:szCs w:val="24"/>
          <w:shd w:val="clear" w:color="auto" w:fill="FFFFFF"/>
        </w:rPr>
        <w:t xml:space="preserve"> М. : Юрайт, 2015</w:t>
      </w:r>
      <w:r w:rsidRPr="00271778">
        <w:rPr>
          <w:sz w:val="24"/>
          <w:szCs w:val="24"/>
          <w:shd w:val="clear" w:color="auto" w:fill="FFFFFF"/>
          <w:lang w:val="uk-UA"/>
        </w:rPr>
        <w:t xml:space="preserve"> – 312 с.</w:t>
      </w:r>
    </w:p>
    <w:p w:rsidR="0091210C" w:rsidRDefault="0091210C" w:rsidP="00271778">
      <w:pPr>
        <w:tabs>
          <w:tab w:val="left" w:pos="1080"/>
        </w:tabs>
        <w:spacing w:line="240" w:lineRule="auto"/>
        <w:ind w:left="720" w:firstLine="0"/>
        <w:contextualSpacing/>
        <w:jc w:val="right"/>
        <w:rPr>
          <w:sz w:val="24"/>
          <w:szCs w:val="24"/>
          <w:shd w:val="clear" w:color="auto" w:fill="FFFFFF"/>
          <w:lang w:val="uk-UA"/>
        </w:rPr>
      </w:pPr>
    </w:p>
    <w:p w:rsidR="0091210C" w:rsidRPr="00421BFD" w:rsidRDefault="0091210C" w:rsidP="00271778">
      <w:pPr>
        <w:tabs>
          <w:tab w:val="left" w:pos="1080"/>
        </w:tabs>
        <w:spacing w:line="240" w:lineRule="auto"/>
        <w:ind w:left="720" w:firstLine="0"/>
        <w:contextualSpacing/>
        <w:jc w:val="right"/>
        <w:rPr>
          <w:b/>
          <w:lang w:val="uk-UA"/>
        </w:rPr>
      </w:pPr>
      <w:r w:rsidRPr="00421BFD">
        <w:rPr>
          <w:b/>
          <w:lang w:val="uk-UA"/>
        </w:rPr>
        <w:t>Науковий керівник:</w:t>
      </w:r>
    </w:p>
    <w:p w:rsidR="0091210C" w:rsidRDefault="0091210C" w:rsidP="00271778">
      <w:pPr>
        <w:tabs>
          <w:tab w:val="left" w:pos="1080"/>
        </w:tabs>
        <w:spacing w:line="240" w:lineRule="auto"/>
        <w:ind w:left="720" w:firstLine="0"/>
        <w:contextualSpacing/>
        <w:jc w:val="right"/>
        <w:rPr>
          <w:lang w:val="uk-UA"/>
        </w:rPr>
      </w:pPr>
      <w:r>
        <w:rPr>
          <w:lang w:val="uk-UA"/>
        </w:rPr>
        <w:t>доктор педагогічних наук, доцент Лучанінова Ольга Петрівна.</w:t>
      </w:r>
    </w:p>
    <w:p w:rsidR="0091210C" w:rsidRDefault="0091210C" w:rsidP="00271778">
      <w:pPr>
        <w:tabs>
          <w:tab w:val="left" w:pos="1080"/>
        </w:tabs>
        <w:spacing w:line="240" w:lineRule="auto"/>
        <w:ind w:left="720" w:firstLine="0"/>
        <w:contextualSpacing/>
        <w:jc w:val="right"/>
        <w:rPr>
          <w:lang w:val="uk-UA"/>
        </w:rPr>
      </w:pPr>
    </w:p>
    <w:p w:rsidR="0091210C" w:rsidRDefault="0091210C" w:rsidP="00D106EB">
      <w:pPr>
        <w:tabs>
          <w:tab w:val="left" w:pos="1080"/>
        </w:tabs>
        <w:spacing w:line="240" w:lineRule="auto"/>
        <w:ind w:left="720" w:firstLine="0"/>
        <w:contextualSpacing/>
        <w:jc w:val="left"/>
        <w:rPr>
          <w:lang w:val="uk-UA"/>
        </w:rPr>
      </w:pPr>
    </w:p>
    <w:p w:rsidR="0091210C" w:rsidRDefault="0091210C" w:rsidP="00D106EB">
      <w:pPr>
        <w:tabs>
          <w:tab w:val="left" w:pos="1080"/>
        </w:tabs>
        <w:spacing w:line="240" w:lineRule="auto"/>
        <w:ind w:left="720" w:firstLine="0"/>
        <w:contextualSpacing/>
        <w:jc w:val="left"/>
        <w:rPr>
          <w:lang w:val="uk-UA"/>
        </w:rPr>
      </w:pPr>
    </w:p>
    <w:p w:rsidR="0091210C" w:rsidRDefault="0091210C" w:rsidP="00D106EB">
      <w:pPr>
        <w:tabs>
          <w:tab w:val="left" w:pos="1080"/>
        </w:tabs>
        <w:spacing w:line="240" w:lineRule="auto"/>
        <w:ind w:left="720" w:firstLine="0"/>
        <w:contextualSpacing/>
        <w:jc w:val="left"/>
        <w:rPr>
          <w:lang w:val="uk-UA"/>
        </w:rPr>
      </w:pPr>
    </w:p>
    <w:p w:rsidR="0091210C" w:rsidRDefault="0091210C" w:rsidP="00D106EB">
      <w:pPr>
        <w:tabs>
          <w:tab w:val="left" w:pos="1080"/>
        </w:tabs>
        <w:spacing w:line="240" w:lineRule="auto"/>
        <w:ind w:left="720" w:firstLine="0"/>
        <w:contextualSpacing/>
        <w:jc w:val="left"/>
        <w:rPr>
          <w:lang w:val="uk-UA"/>
        </w:rPr>
      </w:pPr>
    </w:p>
    <w:p w:rsidR="0091210C" w:rsidRPr="00271778" w:rsidRDefault="0091210C" w:rsidP="00D106EB">
      <w:pPr>
        <w:tabs>
          <w:tab w:val="left" w:pos="1080"/>
        </w:tabs>
        <w:spacing w:line="240" w:lineRule="auto"/>
        <w:ind w:left="720" w:firstLine="0"/>
        <w:contextualSpacing/>
        <w:jc w:val="left"/>
        <w:rPr>
          <w:lang w:val="uk-UA"/>
        </w:rPr>
      </w:pPr>
    </w:p>
    <w:sectPr w:rsidR="0091210C" w:rsidRPr="00271778" w:rsidSect="00271778">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40EC2F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A1C494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C7005D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A94B6D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B2C2AB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A2040E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4FE9C0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3E47D9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C489BF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FC66290"/>
    <w:lvl w:ilvl="0">
      <w:start w:val="1"/>
      <w:numFmt w:val="bullet"/>
      <w:lvlText w:val=""/>
      <w:lvlJc w:val="left"/>
      <w:pPr>
        <w:tabs>
          <w:tab w:val="num" w:pos="360"/>
        </w:tabs>
        <w:ind w:left="360" w:hanging="360"/>
      </w:pPr>
      <w:rPr>
        <w:rFonts w:ascii="Symbol" w:hAnsi="Symbol" w:hint="default"/>
      </w:rPr>
    </w:lvl>
  </w:abstractNum>
  <w:abstractNum w:abstractNumId="10">
    <w:nsid w:val="14EE35D3"/>
    <w:multiLevelType w:val="hybridMultilevel"/>
    <w:tmpl w:val="20083FB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865" w:hanging="360"/>
      </w:pPr>
      <w:rPr>
        <w:rFonts w:cs="Times New Roman"/>
      </w:rPr>
    </w:lvl>
    <w:lvl w:ilvl="2" w:tplc="0419001B" w:tentative="1">
      <w:start w:val="1"/>
      <w:numFmt w:val="lowerRoman"/>
      <w:lvlText w:val="%3."/>
      <w:lvlJc w:val="right"/>
      <w:pPr>
        <w:ind w:left="2585" w:hanging="180"/>
      </w:pPr>
      <w:rPr>
        <w:rFonts w:cs="Times New Roman"/>
      </w:rPr>
    </w:lvl>
    <w:lvl w:ilvl="3" w:tplc="0419000F" w:tentative="1">
      <w:start w:val="1"/>
      <w:numFmt w:val="decimal"/>
      <w:lvlText w:val="%4."/>
      <w:lvlJc w:val="left"/>
      <w:pPr>
        <w:ind w:left="3305" w:hanging="360"/>
      </w:pPr>
      <w:rPr>
        <w:rFonts w:cs="Times New Roman"/>
      </w:rPr>
    </w:lvl>
    <w:lvl w:ilvl="4" w:tplc="04190019" w:tentative="1">
      <w:start w:val="1"/>
      <w:numFmt w:val="lowerLetter"/>
      <w:lvlText w:val="%5."/>
      <w:lvlJc w:val="left"/>
      <w:pPr>
        <w:ind w:left="4025" w:hanging="360"/>
      </w:pPr>
      <w:rPr>
        <w:rFonts w:cs="Times New Roman"/>
      </w:rPr>
    </w:lvl>
    <w:lvl w:ilvl="5" w:tplc="0419001B" w:tentative="1">
      <w:start w:val="1"/>
      <w:numFmt w:val="lowerRoman"/>
      <w:lvlText w:val="%6."/>
      <w:lvlJc w:val="right"/>
      <w:pPr>
        <w:ind w:left="4745" w:hanging="180"/>
      </w:pPr>
      <w:rPr>
        <w:rFonts w:cs="Times New Roman"/>
      </w:rPr>
    </w:lvl>
    <w:lvl w:ilvl="6" w:tplc="0419000F" w:tentative="1">
      <w:start w:val="1"/>
      <w:numFmt w:val="decimal"/>
      <w:lvlText w:val="%7."/>
      <w:lvlJc w:val="left"/>
      <w:pPr>
        <w:ind w:left="5465" w:hanging="360"/>
      </w:pPr>
      <w:rPr>
        <w:rFonts w:cs="Times New Roman"/>
      </w:rPr>
    </w:lvl>
    <w:lvl w:ilvl="7" w:tplc="04190019" w:tentative="1">
      <w:start w:val="1"/>
      <w:numFmt w:val="lowerLetter"/>
      <w:lvlText w:val="%8."/>
      <w:lvlJc w:val="left"/>
      <w:pPr>
        <w:ind w:left="6185" w:hanging="360"/>
      </w:pPr>
      <w:rPr>
        <w:rFonts w:cs="Times New Roman"/>
      </w:rPr>
    </w:lvl>
    <w:lvl w:ilvl="8" w:tplc="0419001B" w:tentative="1">
      <w:start w:val="1"/>
      <w:numFmt w:val="lowerRoman"/>
      <w:lvlText w:val="%9."/>
      <w:lvlJc w:val="right"/>
      <w:pPr>
        <w:ind w:left="6905" w:hanging="180"/>
      </w:pPr>
      <w:rPr>
        <w:rFonts w:cs="Times New Roman"/>
      </w:rPr>
    </w:lvl>
  </w:abstractNum>
  <w:abstractNum w:abstractNumId="11">
    <w:nsid w:val="45DF379D"/>
    <w:multiLevelType w:val="multilevel"/>
    <w:tmpl w:val="70E460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73BD637C"/>
    <w:multiLevelType w:val="multilevel"/>
    <w:tmpl w:val="8B5CEB6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7DC95BD1"/>
    <w:multiLevelType w:val="hybridMultilevel"/>
    <w:tmpl w:val="8752C968"/>
    <w:lvl w:ilvl="0" w:tplc="0D167052">
      <w:start w:val="4"/>
      <w:numFmt w:val="decimal"/>
      <w:lvlText w:val="%1."/>
      <w:lvlJc w:val="left"/>
      <w:pPr>
        <w:tabs>
          <w:tab w:val="num" w:pos="450"/>
        </w:tabs>
        <w:ind w:left="450" w:hanging="360"/>
      </w:pPr>
      <w:rPr>
        <w:rFonts w:ascii="Times New Roman" w:hAnsi="Times New Roman" w:cs="Times New Roman" w:hint="default"/>
        <w:i/>
      </w:rPr>
    </w:lvl>
    <w:lvl w:ilvl="1" w:tplc="04190019" w:tentative="1">
      <w:start w:val="1"/>
      <w:numFmt w:val="lowerLetter"/>
      <w:lvlText w:val="%2."/>
      <w:lvlJc w:val="left"/>
      <w:pPr>
        <w:tabs>
          <w:tab w:val="num" w:pos="1170"/>
        </w:tabs>
        <w:ind w:left="1170" w:hanging="360"/>
      </w:pPr>
      <w:rPr>
        <w:rFonts w:cs="Times New Roman"/>
      </w:rPr>
    </w:lvl>
    <w:lvl w:ilvl="2" w:tplc="0419001B" w:tentative="1">
      <w:start w:val="1"/>
      <w:numFmt w:val="lowerRoman"/>
      <w:lvlText w:val="%3."/>
      <w:lvlJc w:val="right"/>
      <w:pPr>
        <w:tabs>
          <w:tab w:val="num" w:pos="1890"/>
        </w:tabs>
        <w:ind w:left="1890" w:hanging="180"/>
      </w:pPr>
      <w:rPr>
        <w:rFonts w:cs="Times New Roman"/>
      </w:rPr>
    </w:lvl>
    <w:lvl w:ilvl="3" w:tplc="0419000F" w:tentative="1">
      <w:start w:val="1"/>
      <w:numFmt w:val="decimal"/>
      <w:lvlText w:val="%4."/>
      <w:lvlJc w:val="left"/>
      <w:pPr>
        <w:tabs>
          <w:tab w:val="num" w:pos="2610"/>
        </w:tabs>
        <w:ind w:left="2610" w:hanging="360"/>
      </w:pPr>
      <w:rPr>
        <w:rFonts w:cs="Times New Roman"/>
      </w:rPr>
    </w:lvl>
    <w:lvl w:ilvl="4" w:tplc="04190019" w:tentative="1">
      <w:start w:val="1"/>
      <w:numFmt w:val="lowerLetter"/>
      <w:lvlText w:val="%5."/>
      <w:lvlJc w:val="left"/>
      <w:pPr>
        <w:tabs>
          <w:tab w:val="num" w:pos="3330"/>
        </w:tabs>
        <w:ind w:left="3330" w:hanging="360"/>
      </w:pPr>
      <w:rPr>
        <w:rFonts w:cs="Times New Roman"/>
      </w:rPr>
    </w:lvl>
    <w:lvl w:ilvl="5" w:tplc="0419001B" w:tentative="1">
      <w:start w:val="1"/>
      <w:numFmt w:val="lowerRoman"/>
      <w:lvlText w:val="%6."/>
      <w:lvlJc w:val="right"/>
      <w:pPr>
        <w:tabs>
          <w:tab w:val="num" w:pos="4050"/>
        </w:tabs>
        <w:ind w:left="4050" w:hanging="180"/>
      </w:pPr>
      <w:rPr>
        <w:rFonts w:cs="Times New Roman"/>
      </w:rPr>
    </w:lvl>
    <w:lvl w:ilvl="6" w:tplc="0419000F" w:tentative="1">
      <w:start w:val="1"/>
      <w:numFmt w:val="decimal"/>
      <w:lvlText w:val="%7."/>
      <w:lvlJc w:val="left"/>
      <w:pPr>
        <w:tabs>
          <w:tab w:val="num" w:pos="4770"/>
        </w:tabs>
        <w:ind w:left="4770" w:hanging="360"/>
      </w:pPr>
      <w:rPr>
        <w:rFonts w:cs="Times New Roman"/>
      </w:rPr>
    </w:lvl>
    <w:lvl w:ilvl="7" w:tplc="04190019" w:tentative="1">
      <w:start w:val="1"/>
      <w:numFmt w:val="lowerLetter"/>
      <w:lvlText w:val="%8."/>
      <w:lvlJc w:val="left"/>
      <w:pPr>
        <w:tabs>
          <w:tab w:val="num" w:pos="5490"/>
        </w:tabs>
        <w:ind w:left="5490" w:hanging="360"/>
      </w:pPr>
      <w:rPr>
        <w:rFonts w:cs="Times New Roman"/>
      </w:rPr>
    </w:lvl>
    <w:lvl w:ilvl="8" w:tplc="0419001B" w:tentative="1">
      <w:start w:val="1"/>
      <w:numFmt w:val="lowerRoman"/>
      <w:lvlText w:val="%9."/>
      <w:lvlJc w:val="right"/>
      <w:pPr>
        <w:tabs>
          <w:tab w:val="num" w:pos="6210"/>
        </w:tabs>
        <w:ind w:left="6210" w:hanging="180"/>
      </w:pPr>
      <w:rPr>
        <w:rFonts w:cs="Times New Roman"/>
      </w:rPr>
    </w:lvl>
  </w:abstractNum>
  <w:num w:numId="1">
    <w:abstractNumId w:val="11"/>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4B98"/>
    <w:rsid w:val="00011A9A"/>
    <w:rsid w:val="000724DB"/>
    <w:rsid w:val="000A4CB2"/>
    <w:rsid w:val="000C2F58"/>
    <w:rsid w:val="000C6E08"/>
    <w:rsid w:val="000E1F6E"/>
    <w:rsid w:val="001100B8"/>
    <w:rsid w:val="001B2278"/>
    <w:rsid w:val="001B66A8"/>
    <w:rsid w:val="001B709A"/>
    <w:rsid w:val="001D2E1E"/>
    <w:rsid w:val="002211C9"/>
    <w:rsid w:val="002435DE"/>
    <w:rsid w:val="002441FC"/>
    <w:rsid w:val="00271778"/>
    <w:rsid w:val="00286EE9"/>
    <w:rsid w:val="002F074B"/>
    <w:rsid w:val="002F0807"/>
    <w:rsid w:val="003A47E0"/>
    <w:rsid w:val="0041440D"/>
    <w:rsid w:val="00421BFD"/>
    <w:rsid w:val="004224F4"/>
    <w:rsid w:val="00444224"/>
    <w:rsid w:val="00480A06"/>
    <w:rsid w:val="00521A32"/>
    <w:rsid w:val="00533ECD"/>
    <w:rsid w:val="00543F7D"/>
    <w:rsid w:val="005779A7"/>
    <w:rsid w:val="005E3A64"/>
    <w:rsid w:val="005F3908"/>
    <w:rsid w:val="0062511F"/>
    <w:rsid w:val="0063754D"/>
    <w:rsid w:val="00740C3B"/>
    <w:rsid w:val="00866D17"/>
    <w:rsid w:val="0088113D"/>
    <w:rsid w:val="008C00CB"/>
    <w:rsid w:val="008C5AF9"/>
    <w:rsid w:val="008C6B87"/>
    <w:rsid w:val="00906FAB"/>
    <w:rsid w:val="0091210C"/>
    <w:rsid w:val="00914FA5"/>
    <w:rsid w:val="009355CF"/>
    <w:rsid w:val="00974B52"/>
    <w:rsid w:val="0099577F"/>
    <w:rsid w:val="00A32515"/>
    <w:rsid w:val="00A6124D"/>
    <w:rsid w:val="00AA520F"/>
    <w:rsid w:val="00AA6EF7"/>
    <w:rsid w:val="00AE755A"/>
    <w:rsid w:val="00B2707B"/>
    <w:rsid w:val="00B65081"/>
    <w:rsid w:val="00BC4DBE"/>
    <w:rsid w:val="00BD1A0B"/>
    <w:rsid w:val="00BF4B98"/>
    <w:rsid w:val="00C019F4"/>
    <w:rsid w:val="00C14863"/>
    <w:rsid w:val="00D106EB"/>
    <w:rsid w:val="00D22CC3"/>
    <w:rsid w:val="00D273C9"/>
    <w:rsid w:val="00D554F6"/>
    <w:rsid w:val="00D70EA2"/>
    <w:rsid w:val="00DF28C3"/>
    <w:rsid w:val="00E37F2D"/>
    <w:rsid w:val="00E84AE5"/>
    <w:rsid w:val="00EA0350"/>
    <w:rsid w:val="00EC1932"/>
    <w:rsid w:val="00EC6744"/>
    <w:rsid w:val="00ED6EED"/>
    <w:rsid w:val="00EF0654"/>
    <w:rsid w:val="00FE6AE7"/>
    <w:rsid w:val="00FF178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B98"/>
    <w:pPr>
      <w:spacing w:line="360" w:lineRule="auto"/>
      <w:ind w:firstLine="709"/>
      <w:jc w:val="both"/>
    </w:pPr>
    <w:rPr>
      <w:sz w:val="28"/>
      <w:szCs w:val="28"/>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BF4B98"/>
    <w:pPr>
      <w:spacing w:before="100" w:beforeAutospacing="1" w:after="100" w:afterAutospacing="1" w:line="240" w:lineRule="auto"/>
      <w:ind w:firstLine="0"/>
      <w:jc w:val="left"/>
    </w:pPr>
    <w:rPr>
      <w:rFonts w:eastAsia="Times New Roman"/>
      <w:sz w:val="24"/>
      <w:szCs w:val="24"/>
      <w:lang w:eastAsia="ru-RU"/>
    </w:rPr>
  </w:style>
  <w:style w:type="paragraph" w:customStyle="1" w:styleId="western">
    <w:name w:val="western"/>
    <w:basedOn w:val="Normal"/>
    <w:uiPriority w:val="99"/>
    <w:rsid w:val="001B66A8"/>
    <w:pPr>
      <w:spacing w:before="100" w:beforeAutospacing="1" w:after="100" w:afterAutospacing="1" w:line="240" w:lineRule="auto"/>
      <w:ind w:firstLine="0"/>
      <w:jc w:val="left"/>
    </w:pPr>
    <w:rPr>
      <w:rFonts w:eastAsia="Times New Roman"/>
      <w:sz w:val="24"/>
      <w:szCs w:val="24"/>
      <w:lang w:eastAsia="ru-RU"/>
    </w:rPr>
  </w:style>
  <w:style w:type="character" w:styleId="Hyperlink">
    <w:name w:val="Hyperlink"/>
    <w:basedOn w:val="DefaultParagraphFont"/>
    <w:uiPriority w:val="99"/>
    <w:semiHidden/>
    <w:rsid w:val="001B66A8"/>
    <w:rPr>
      <w:rFonts w:cs="Times New Roman"/>
      <w:color w:val="0000FF"/>
      <w:u w:val="single"/>
    </w:rPr>
  </w:style>
  <w:style w:type="character" w:styleId="Emphasis">
    <w:name w:val="Emphasis"/>
    <w:basedOn w:val="DefaultParagraphFont"/>
    <w:uiPriority w:val="99"/>
    <w:qFormat/>
    <w:locked/>
    <w:rsid w:val="008C5AF9"/>
    <w:rPr>
      <w:rFonts w:cs="Times New Roman"/>
      <w:i/>
      <w:iCs/>
    </w:rPr>
  </w:style>
  <w:style w:type="character" w:customStyle="1" w:styleId="apple-converted-space">
    <w:name w:val="apple-converted-space"/>
    <w:basedOn w:val="DefaultParagraphFont"/>
    <w:uiPriority w:val="99"/>
    <w:rsid w:val="008C5AF9"/>
    <w:rPr>
      <w:rFonts w:cs="Times New Roman"/>
    </w:rPr>
  </w:style>
</w:styles>
</file>

<file path=word/webSettings.xml><?xml version="1.0" encoding="utf-8"?>
<w:webSettings xmlns:r="http://schemas.openxmlformats.org/officeDocument/2006/relationships" xmlns:w="http://schemas.openxmlformats.org/wordprocessingml/2006/main">
  <w:divs>
    <w:div w:id="1122533359">
      <w:marLeft w:val="0"/>
      <w:marRight w:val="0"/>
      <w:marTop w:val="0"/>
      <w:marBottom w:val="0"/>
      <w:divBdr>
        <w:top w:val="none" w:sz="0" w:space="0" w:color="auto"/>
        <w:left w:val="none" w:sz="0" w:space="0" w:color="auto"/>
        <w:bottom w:val="none" w:sz="0" w:space="0" w:color="auto"/>
        <w:right w:val="none" w:sz="0" w:space="0" w:color="auto"/>
      </w:divBdr>
    </w:div>
    <w:div w:id="1122533363">
      <w:marLeft w:val="0"/>
      <w:marRight w:val="0"/>
      <w:marTop w:val="0"/>
      <w:marBottom w:val="0"/>
      <w:divBdr>
        <w:top w:val="none" w:sz="0" w:space="0" w:color="auto"/>
        <w:left w:val="none" w:sz="0" w:space="0" w:color="auto"/>
        <w:bottom w:val="none" w:sz="0" w:space="0" w:color="auto"/>
        <w:right w:val="none" w:sz="0" w:space="0" w:color="auto"/>
      </w:divBdr>
      <w:divsChild>
        <w:div w:id="1122533360">
          <w:marLeft w:val="0"/>
          <w:marRight w:val="0"/>
          <w:marTop w:val="0"/>
          <w:marBottom w:val="0"/>
          <w:divBdr>
            <w:top w:val="none" w:sz="0" w:space="0" w:color="auto"/>
            <w:left w:val="none" w:sz="0" w:space="0" w:color="auto"/>
            <w:bottom w:val="none" w:sz="0" w:space="0" w:color="auto"/>
            <w:right w:val="none" w:sz="0" w:space="0" w:color="auto"/>
          </w:divBdr>
          <w:divsChild>
            <w:div w:id="1122533361">
              <w:marLeft w:val="0"/>
              <w:marRight w:val="0"/>
              <w:marTop w:val="0"/>
              <w:marBottom w:val="0"/>
              <w:divBdr>
                <w:top w:val="none" w:sz="0" w:space="0" w:color="auto"/>
                <w:left w:val="none" w:sz="0" w:space="0" w:color="auto"/>
                <w:bottom w:val="none" w:sz="0" w:space="0" w:color="auto"/>
                <w:right w:val="none" w:sz="0" w:space="0" w:color="auto"/>
              </w:divBdr>
            </w:div>
          </w:divsChild>
        </w:div>
        <w:div w:id="1122533362">
          <w:marLeft w:val="0"/>
          <w:marRight w:val="0"/>
          <w:marTop w:val="0"/>
          <w:marBottom w:val="0"/>
          <w:divBdr>
            <w:top w:val="none" w:sz="0" w:space="0" w:color="auto"/>
            <w:left w:val="none" w:sz="0" w:space="0" w:color="auto"/>
            <w:bottom w:val="none" w:sz="0" w:space="0" w:color="auto"/>
            <w:right w:val="none" w:sz="0" w:space="0" w:color="auto"/>
          </w:divBdr>
        </w:div>
      </w:divsChild>
    </w:div>
    <w:div w:id="1122533364">
      <w:marLeft w:val="0"/>
      <w:marRight w:val="0"/>
      <w:marTop w:val="0"/>
      <w:marBottom w:val="0"/>
      <w:divBdr>
        <w:top w:val="none" w:sz="0" w:space="0" w:color="auto"/>
        <w:left w:val="none" w:sz="0" w:space="0" w:color="auto"/>
        <w:bottom w:val="none" w:sz="0" w:space="0" w:color="auto"/>
        <w:right w:val="none" w:sz="0" w:space="0" w:color="auto"/>
      </w:divBdr>
    </w:div>
    <w:div w:id="1122533365">
      <w:marLeft w:val="0"/>
      <w:marRight w:val="0"/>
      <w:marTop w:val="0"/>
      <w:marBottom w:val="0"/>
      <w:divBdr>
        <w:top w:val="none" w:sz="0" w:space="0" w:color="auto"/>
        <w:left w:val="none" w:sz="0" w:space="0" w:color="auto"/>
        <w:bottom w:val="none" w:sz="0" w:space="0" w:color="auto"/>
        <w:right w:val="none" w:sz="0" w:space="0" w:color="auto"/>
      </w:divBdr>
    </w:div>
    <w:div w:id="1122533366">
      <w:marLeft w:val="0"/>
      <w:marRight w:val="0"/>
      <w:marTop w:val="0"/>
      <w:marBottom w:val="0"/>
      <w:divBdr>
        <w:top w:val="none" w:sz="0" w:space="0" w:color="auto"/>
        <w:left w:val="none" w:sz="0" w:space="0" w:color="auto"/>
        <w:bottom w:val="none" w:sz="0" w:space="0" w:color="auto"/>
        <w:right w:val="none" w:sz="0" w:space="0" w:color="auto"/>
      </w:divBdr>
    </w:div>
    <w:div w:id="1122533367">
      <w:marLeft w:val="0"/>
      <w:marRight w:val="0"/>
      <w:marTop w:val="0"/>
      <w:marBottom w:val="0"/>
      <w:divBdr>
        <w:top w:val="none" w:sz="0" w:space="0" w:color="auto"/>
        <w:left w:val="none" w:sz="0" w:space="0" w:color="auto"/>
        <w:bottom w:val="none" w:sz="0" w:space="0" w:color="auto"/>
        <w:right w:val="none" w:sz="0" w:space="0" w:color="auto"/>
      </w:divBdr>
    </w:div>
    <w:div w:id="1122533368">
      <w:marLeft w:val="0"/>
      <w:marRight w:val="0"/>
      <w:marTop w:val="0"/>
      <w:marBottom w:val="0"/>
      <w:divBdr>
        <w:top w:val="none" w:sz="0" w:space="0" w:color="auto"/>
        <w:left w:val="none" w:sz="0" w:space="0" w:color="auto"/>
        <w:bottom w:val="none" w:sz="0" w:space="0" w:color="auto"/>
        <w:right w:val="none" w:sz="0" w:space="0" w:color="auto"/>
      </w:divBdr>
    </w:div>
    <w:div w:id="11225333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347</TotalTime>
  <Pages>6</Pages>
  <Words>6947</Words>
  <Characters>3961</Characters>
  <Application>Microsoft Office Outlook</Application>
  <DocSecurity>0</DocSecurity>
  <Lines>0</Lines>
  <Paragraphs>0</Paragraphs>
  <ScaleCrop>false</ScaleCrop>
  <Company>Krokoz™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HP355G2</dc:creator>
  <cp:keywords/>
  <dc:description/>
  <cp:lastModifiedBy>Admin</cp:lastModifiedBy>
  <cp:revision>22</cp:revision>
  <dcterms:created xsi:type="dcterms:W3CDTF">2017-12-04T22:08:00Z</dcterms:created>
  <dcterms:modified xsi:type="dcterms:W3CDTF">2017-12-29T12:43:00Z</dcterms:modified>
</cp:coreProperties>
</file>