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D6" w:rsidRPr="00EE0879" w:rsidRDefault="00D629D6" w:rsidP="00FB5115">
      <w:pPr>
        <w:spacing w:line="360" w:lineRule="auto"/>
        <w:ind w:firstLine="720"/>
        <w:jc w:val="right"/>
        <w:rPr>
          <w:b/>
          <w:sz w:val="28"/>
          <w:szCs w:val="28"/>
          <w:lang w:val="en-US"/>
        </w:rPr>
      </w:pPr>
      <w:r w:rsidRPr="00EE0879">
        <w:rPr>
          <w:b/>
          <w:sz w:val="28"/>
          <w:szCs w:val="28"/>
        </w:rPr>
        <w:t xml:space="preserve">Виктория Гаврущенко </w:t>
      </w:r>
    </w:p>
    <w:p w:rsidR="00D629D6" w:rsidRPr="00EE0879" w:rsidRDefault="00D629D6" w:rsidP="00FB5115">
      <w:pPr>
        <w:spacing w:line="360" w:lineRule="auto"/>
        <w:ind w:firstLine="720"/>
        <w:jc w:val="right"/>
        <w:rPr>
          <w:b/>
          <w:sz w:val="28"/>
          <w:szCs w:val="28"/>
        </w:rPr>
      </w:pPr>
      <w:r w:rsidRPr="00EE0879">
        <w:rPr>
          <w:b/>
          <w:sz w:val="28"/>
          <w:szCs w:val="28"/>
        </w:rPr>
        <w:t>(Гомель, Беларусь)</w:t>
      </w:r>
    </w:p>
    <w:p w:rsidR="00D629D6" w:rsidRPr="00EE0879" w:rsidRDefault="00D629D6" w:rsidP="00FB5115">
      <w:pPr>
        <w:spacing w:line="360" w:lineRule="auto"/>
        <w:ind w:firstLine="720"/>
        <w:jc w:val="right"/>
        <w:rPr>
          <w:b/>
          <w:sz w:val="28"/>
          <w:szCs w:val="28"/>
          <w:lang w:val="en-US"/>
        </w:rPr>
      </w:pPr>
    </w:p>
    <w:p w:rsidR="00D629D6" w:rsidRPr="00EE0879" w:rsidRDefault="00D629D6" w:rsidP="00D258A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ПРИМЕНЕНИЕ МЕТОДОВ ПО АКТИВИЗАЦИИ ПОЗНАВАТЕЛЬНОЙ ДЕЯТЕЛЬНОСТИ УЧАЩИХСЯ НА УРОКАХ ХИМИИ</w:t>
      </w:r>
    </w:p>
    <w:p w:rsidR="00D629D6" w:rsidRPr="00EE0879" w:rsidRDefault="00D629D6" w:rsidP="00D258A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D629D6" w:rsidRPr="003343A5" w:rsidRDefault="00D629D6" w:rsidP="00FB511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343A5">
        <w:rPr>
          <w:sz w:val="28"/>
          <w:szCs w:val="28"/>
        </w:rPr>
        <w:t>роблема эффективности обучения тесно связана с активностью, самостоятельностью учащихся, сознательным стремлением к познанию основ изучаемой науки, побуждаемых познавательными мотивами их учебной деятельности. Активные методы обучения позволяют использовать все уровни усвоения знаний: от воспроизводящей деятельности через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преобразующую к главной цели </w:t>
      </w:r>
      <w:r w:rsidRPr="00FB791B">
        <w:rPr>
          <w:sz w:val="28"/>
          <w:szCs w:val="28"/>
        </w:rPr>
        <w:t>–</w:t>
      </w:r>
      <w:r>
        <w:rPr>
          <w:sz w:val="28"/>
          <w:szCs w:val="28"/>
        </w:rPr>
        <w:t>творческо</w:t>
      </w:r>
      <w:r w:rsidRPr="00FB791B">
        <w:rPr>
          <w:sz w:val="28"/>
          <w:szCs w:val="28"/>
        </w:rPr>
        <w:t>–</w:t>
      </w:r>
      <w:r>
        <w:rPr>
          <w:sz w:val="28"/>
          <w:szCs w:val="28"/>
        </w:rPr>
        <w:t>поисковой</w:t>
      </w:r>
      <w:r w:rsidRPr="003343A5">
        <w:rPr>
          <w:sz w:val="28"/>
          <w:szCs w:val="28"/>
        </w:rPr>
        <w:t xml:space="preserve">. </w:t>
      </w:r>
    </w:p>
    <w:p w:rsidR="00D629D6" w:rsidRPr="0042074E" w:rsidRDefault="00D629D6" w:rsidP="00FB5115">
      <w:pPr>
        <w:spacing w:line="360" w:lineRule="auto"/>
        <w:ind w:firstLine="708"/>
        <w:jc w:val="both"/>
        <w:rPr>
          <w:sz w:val="28"/>
          <w:szCs w:val="28"/>
        </w:rPr>
      </w:pPr>
      <w:r w:rsidRPr="00D2023C">
        <w:rPr>
          <w:sz w:val="28"/>
          <w:szCs w:val="28"/>
        </w:rPr>
        <w:t>В соврем</w:t>
      </w:r>
      <w:r>
        <w:rPr>
          <w:sz w:val="28"/>
          <w:szCs w:val="28"/>
        </w:rPr>
        <w:t>е</w:t>
      </w:r>
      <w:r w:rsidRPr="00D2023C">
        <w:rPr>
          <w:sz w:val="28"/>
          <w:szCs w:val="28"/>
        </w:rPr>
        <w:t>нных условиях актуально организовать процес</w:t>
      </w:r>
      <w:r>
        <w:rPr>
          <w:sz w:val="28"/>
          <w:szCs w:val="28"/>
        </w:rPr>
        <w:t>с обучения так, чтобы его образова</w:t>
      </w:r>
      <w:r w:rsidRPr="00D2023C">
        <w:rPr>
          <w:sz w:val="28"/>
          <w:szCs w:val="28"/>
        </w:rPr>
        <w:t xml:space="preserve">тельный результат проявлялся </w:t>
      </w:r>
      <w:r>
        <w:rPr>
          <w:sz w:val="28"/>
          <w:szCs w:val="28"/>
        </w:rPr>
        <w:t>в развитии творческих способностей, устойчивого познавательного интереса учащихся, в формировании системы жизненно важных, практически востребованных знаний и умений. Обучение химии должно осуществляться таким образом, чтобы у учащихся реализовалось понимание сущности химических процессов, а приобретенные знания в практической деятельности и в окружающей жизни для объяснения явлений в природе и быту. Это серьезно мотивирует школьников к учению, саморазвитию, что позволяет адаптироваться к жизни и относиться к ней активно и творчески [1, с. 5</w:t>
      </w:r>
      <w:r w:rsidRPr="005A44B9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629D6" w:rsidRDefault="00D629D6" w:rsidP="00FB51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Важным средством активизации учебной деятельности учащихся, повышения их интереса к учению, развития познавательных способностей, является выполнение заданий творческого характера в сочетании с самостоятельностью школьника (воссоздать, представить, дорисовать, дополнить и т.д.). Поэтому возник вопрос об активизации познавательной деятельности учащихся 7-9 классов, задача которой – направить активность каждого школьника на познание окружающего мира, на общественно полезную деятельность, на саморазвитие и самовоспитание. Ведь личность всегда активна [2, с. 33</w:t>
      </w:r>
      <w:r w:rsidRPr="008F5368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629D6" w:rsidRDefault="00D629D6" w:rsidP="00FB5115">
      <w:pPr>
        <w:spacing w:line="360" w:lineRule="auto"/>
        <w:ind w:firstLine="708"/>
        <w:jc w:val="both"/>
        <w:rPr>
          <w:sz w:val="28"/>
          <w:szCs w:val="28"/>
        </w:rPr>
      </w:pPr>
      <w:r w:rsidRPr="007C5FF4">
        <w:rPr>
          <w:sz w:val="28"/>
          <w:szCs w:val="28"/>
        </w:rPr>
        <w:t>Педагогические исследования были проведены на базеГУО «</w:t>
      </w:r>
      <w:r>
        <w:rPr>
          <w:sz w:val="28"/>
          <w:szCs w:val="28"/>
        </w:rPr>
        <w:t>Уваровичская с</w:t>
      </w:r>
      <w:r w:rsidRPr="007C5FF4">
        <w:rPr>
          <w:sz w:val="28"/>
          <w:szCs w:val="28"/>
        </w:rPr>
        <w:t>редняя школа</w:t>
      </w:r>
      <w:r>
        <w:rPr>
          <w:sz w:val="28"/>
          <w:szCs w:val="28"/>
        </w:rPr>
        <w:t xml:space="preserve"> Буда </w:t>
      </w:r>
      <w:r w:rsidRPr="00952D60">
        <w:rPr>
          <w:sz w:val="28"/>
          <w:szCs w:val="28"/>
        </w:rPr>
        <w:t>–</w:t>
      </w:r>
      <w:r>
        <w:rPr>
          <w:sz w:val="28"/>
          <w:szCs w:val="28"/>
        </w:rPr>
        <w:t>Кошелевского района</w:t>
      </w:r>
      <w:r w:rsidRPr="007C5FF4">
        <w:rPr>
          <w:sz w:val="28"/>
          <w:szCs w:val="28"/>
        </w:rPr>
        <w:t>»</w:t>
      </w:r>
      <w:r>
        <w:rPr>
          <w:sz w:val="28"/>
          <w:szCs w:val="28"/>
        </w:rPr>
        <w:t>Гомельской области напротяжении  2017/2018 учебного года</w:t>
      </w:r>
      <w:r w:rsidRPr="007C5FF4">
        <w:rPr>
          <w:sz w:val="28"/>
          <w:szCs w:val="28"/>
        </w:rPr>
        <w:t xml:space="preserve"> в </w:t>
      </w:r>
      <w:r>
        <w:rPr>
          <w:spacing w:val="-20"/>
          <w:sz w:val="28"/>
          <w:szCs w:val="28"/>
        </w:rPr>
        <w:t>8 «А» и 8 «Б</w:t>
      </w:r>
      <w:r w:rsidRPr="007C5FF4">
        <w:rPr>
          <w:spacing w:val="-20"/>
          <w:sz w:val="28"/>
          <w:szCs w:val="28"/>
        </w:rPr>
        <w:t xml:space="preserve">» </w:t>
      </w:r>
      <w:r w:rsidRPr="007C5FF4">
        <w:rPr>
          <w:sz w:val="28"/>
          <w:szCs w:val="28"/>
        </w:rPr>
        <w:t>классах</w:t>
      </w:r>
      <w:r>
        <w:rPr>
          <w:sz w:val="28"/>
          <w:szCs w:val="28"/>
        </w:rPr>
        <w:t xml:space="preserve">. </w:t>
      </w:r>
    </w:p>
    <w:p w:rsidR="00D629D6" w:rsidRPr="004D35E6" w:rsidRDefault="00D629D6" w:rsidP="004D35E6">
      <w:pPr>
        <w:spacing w:line="360" w:lineRule="auto"/>
        <w:ind w:firstLine="708"/>
        <w:jc w:val="both"/>
        <w:rPr>
          <w:sz w:val="28"/>
          <w:szCs w:val="28"/>
        </w:rPr>
      </w:pPr>
      <w:r w:rsidRPr="004D35E6">
        <w:rPr>
          <w:sz w:val="28"/>
          <w:szCs w:val="28"/>
        </w:rPr>
        <w:t xml:space="preserve">Используя элементы компьютерной технологии, были </w:t>
      </w:r>
      <w:r>
        <w:rPr>
          <w:sz w:val="28"/>
          <w:szCs w:val="28"/>
        </w:rPr>
        <w:t>проведены следующие уроки в 8 классах</w:t>
      </w:r>
      <w:r w:rsidRPr="004D35E6">
        <w:rPr>
          <w:sz w:val="28"/>
          <w:szCs w:val="28"/>
        </w:rPr>
        <w:t xml:space="preserve">:  «Обобщение и систематизация знаний по теме «Химическая связь»» (с видео – демонстрацией и презентацией), «Однородные и неоднородные смеси веществ и их использование», «Однородные и неоднородные смеси веществ и их использование», «Вода как универсальный растворитель» (с элементами игровой технологии). Для сравнения, в этом классе были проведены уроки без использования компьютерной технологии по следующей теме: «Окислительно-восстановительные реакции». </w:t>
      </w:r>
    </w:p>
    <w:p w:rsidR="00D629D6" w:rsidRPr="004D35E6" w:rsidRDefault="00D629D6" w:rsidP="004D35E6">
      <w:pPr>
        <w:spacing w:line="360" w:lineRule="auto"/>
        <w:ind w:firstLine="708"/>
        <w:jc w:val="both"/>
        <w:rPr>
          <w:sz w:val="28"/>
          <w:szCs w:val="28"/>
        </w:rPr>
      </w:pPr>
      <w:r w:rsidRPr="004D35E6">
        <w:rPr>
          <w:sz w:val="28"/>
          <w:szCs w:val="28"/>
        </w:rPr>
        <w:t xml:space="preserve">После проведения каждого из уроков проводился учет знаний учащихся в виде проверочных работ. При проведении данных уроков были поставлены следующие цели: развивающая, образовательная, воспитательная. Во время уроков были соблюдены все этапы, которые были взаимосвязаны между собой. В конце уроков были подведены итоги. В дальнейшем были проанализированы результаты проверочных работ. </w:t>
      </w:r>
    </w:p>
    <w:p w:rsidR="00D629D6" w:rsidRDefault="00D629D6" w:rsidP="004D35E6">
      <w:pPr>
        <w:spacing w:line="360" w:lineRule="auto"/>
        <w:ind w:firstLine="708"/>
        <w:jc w:val="both"/>
        <w:rPr>
          <w:sz w:val="28"/>
          <w:szCs w:val="28"/>
        </w:rPr>
      </w:pPr>
      <w:r w:rsidRPr="004D35E6">
        <w:rPr>
          <w:sz w:val="28"/>
          <w:szCs w:val="28"/>
        </w:rPr>
        <w:t>При анализе результатов проверочных работ, были сравнены между собой результаты проверочных работ с использованием компьютерной технологии с оценками за проверочные работы без использования данной технологии в каждом классе, а также с результатами учеников за 1 четверть. В процессе проведения уроков, при оценивании учащихся учитывался уровень правильности написания химических соединений, грамотность изложения учебной информации.</w:t>
      </w:r>
    </w:p>
    <w:p w:rsidR="00D629D6" w:rsidRDefault="00D629D6" w:rsidP="00FB5115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Средний балл за первую четверть составил 5 баллов, по проверочным работам в 8 «А» составил: №1 – 6,4; </w:t>
      </w:r>
      <w:r w:rsidRPr="00596366">
        <w:rPr>
          <w:sz w:val="28"/>
          <w:szCs w:val="20"/>
        </w:rPr>
        <w:t xml:space="preserve">№2– 6,4 балла;№3 – 6,5; №4 – </w:t>
      </w:r>
      <w:r>
        <w:rPr>
          <w:sz w:val="28"/>
          <w:szCs w:val="20"/>
        </w:rPr>
        <w:t>6,7</w:t>
      </w:r>
      <w:r w:rsidRPr="00596366">
        <w:rPr>
          <w:sz w:val="28"/>
          <w:szCs w:val="20"/>
        </w:rPr>
        <w:t xml:space="preserve">  балла.</w:t>
      </w:r>
      <w:r>
        <w:rPr>
          <w:color w:val="000000"/>
          <w:sz w:val="28"/>
          <w:szCs w:val="20"/>
        </w:rPr>
        <w:t xml:space="preserve">  Результаты постепенно возрастают, что свидетельствует о повышение познавательной деятельности, а значит и о повышении качества знаний, умений и навыков.</w:t>
      </w:r>
    </w:p>
    <w:p w:rsidR="00D629D6" w:rsidRDefault="00D629D6" w:rsidP="00FB5115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Средний балл в 8 «Б» за первую четверть составил 5,6 классе выше по проверочным работам №3 и №4. Данные проверочные работы проведены по темам, на которых  использовались элементы компьютерной технологии. Средние баллы проверочных работ составили: проверочная №1 – 5,2 проверочная работа №2 – 5,4 балла; проверочная №3 – 5,6; №4 – 5,8 балла.</w:t>
      </w:r>
    </w:p>
    <w:p w:rsidR="00D629D6" w:rsidRDefault="00D629D6" w:rsidP="00FB5115">
      <w:pPr>
        <w:spacing w:line="360" w:lineRule="auto"/>
        <w:ind w:firstLine="708"/>
        <w:jc w:val="both"/>
        <w:rPr>
          <w:sz w:val="28"/>
        </w:rPr>
      </w:pPr>
      <w:r w:rsidRPr="0041712D">
        <w:rPr>
          <w:sz w:val="28"/>
        </w:rPr>
        <w:t>Опыт проведенных нами исследований показал, что результаты по проверочным работам за уроки с использованием технологи</w:t>
      </w:r>
      <w:r>
        <w:rPr>
          <w:sz w:val="28"/>
        </w:rPr>
        <w:t>й</w:t>
      </w:r>
      <w:r w:rsidRPr="0041712D">
        <w:rPr>
          <w:sz w:val="28"/>
        </w:rPr>
        <w:t xml:space="preserve"> на различных этапа</w:t>
      </w:r>
      <w:r>
        <w:rPr>
          <w:sz w:val="28"/>
        </w:rPr>
        <w:t>х урока, были выше результатов</w:t>
      </w:r>
      <w:r w:rsidRPr="0041712D">
        <w:rPr>
          <w:sz w:val="28"/>
        </w:rPr>
        <w:t xml:space="preserve"> проверочны</w:t>
      </w:r>
      <w:r>
        <w:rPr>
          <w:sz w:val="28"/>
        </w:rPr>
        <w:t>х работ по сравнению с уроками</w:t>
      </w:r>
      <w:r w:rsidRPr="0041712D">
        <w:rPr>
          <w:sz w:val="28"/>
        </w:rPr>
        <w:t xml:space="preserve"> без </w:t>
      </w:r>
      <w:r>
        <w:rPr>
          <w:sz w:val="28"/>
        </w:rPr>
        <w:t xml:space="preserve">их </w:t>
      </w:r>
      <w:r w:rsidRPr="0041712D">
        <w:rPr>
          <w:sz w:val="28"/>
        </w:rPr>
        <w:t>исп</w:t>
      </w:r>
      <w:r>
        <w:rPr>
          <w:sz w:val="28"/>
        </w:rPr>
        <w:t xml:space="preserve">ользования в 8 «А» и </w:t>
      </w:r>
      <w:r w:rsidRPr="00AA3B67">
        <w:rPr>
          <w:sz w:val="28"/>
        </w:rPr>
        <w:t>8</w:t>
      </w:r>
      <w:r w:rsidRPr="0041712D">
        <w:rPr>
          <w:sz w:val="28"/>
        </w:rPr>
        <w:t xml:space="preserve"> «Б» классах ГУО «Уваровичская средняя школа Буда-Кошелевского района». Полученные результаты были подтверждены статистически</w:t>
      </w:r>
      <w:r>
        <w:rPr>
          <w:sz w:val="28"/>
        </w:rPr>
        <w:t xml:space="preserve"> (таблица 1 и таблица 2)</w:t>
      </w:r>
      <w:r w:rsidRPr="0041712D">
        <w:rPr>
          <w:sz w:val="28"/>
        </w:rPr>
        <w:t>.</w:t>
      </w:r>
    </w:p>
    <w:p w:rsidR="00D629D6" w:rsidRDefault="00D629D6" w:rsidP="00FB5115">
      <w:pPr>
        <w:spacing w:line="360" w:lineRule="auto"/>
        <w:ind w:firstLine="708"/>
        <w:jc w:val="both"/>
        <w:rPr>
          <w:sz w:val="28"/>
        </w:rPr>
      </w:pPr>
    </w:p>
    <w:p w:rsidR="00D629D6" w:rsidRPr="009B5670" w:rsidRDefault="00D629D6" w:rsidP="004B0C2E">
      <w:pPr>
        <w:ind w:firstLine="709"/>
        <w:jc w:val="both"/>
        <w:rPr>
          <w:b/>
          <w:sz w:val="25"/>
          <w:szCs w:val="25"/>
        </w:rPr>
      </w:pPr>
      <w:r>
        <w:rPr>
          <w:b/>
        </w:rPr>
        <w:t>Таблица 1</w:t>
      </w:r>
      <w:r w:rsidRPr="00E51E5E">
        <w:rPr>
          <w:b/>
        </w:rPr>
        <w:t xml:space="preserve"> – Результаты обработки полученных данных </w:t>
      </w:r>
      <w:r w:rsidRPr="00E51E5E">
        <w:rPr>
          <w:b/>
          <w:spacing w:val="-20"/>
        </w:rPr>
        <w:t>8 «Б» класса</w:t>
      </w:r>
    </w:p>
    <w:tbl>
      <w:tblPr>
        <w:tblW w:w="9853" w:type="dxa"/>
        <w:jc w:val="center"/>
        <w:tblLook w:val="00A0"/>
      </w:tblPr>
      <w:tblGrid>
        <w:gridCol w:w="2094"/>
        <w:gridCol w:w="1165"/>
        <w:gridCol w:w="252"/>
        <w:gridCol w:w="1556"/>
        <w:gridCol w:w="1562"/>
        <w:gridCol w:w="1612"/>
        <w:gridCol w:w="1612"/>
      </w:tblGrid>
      <w:tr w:rsidR="00D629D6" w:rsidRPr="00863349" w:rsidTr="004B0C2E">
        <w:trPr>
          <w:trHeight w:val="257"/>
          <w:jc w:val="center"/>
        </w:trPr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29D6" w:rsidRPr="00262FA9" w:rsidRDefault="00D629D6" w:rsidP="000836C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29D6" w:rsidRPr="00863349" w:rsidRDefault="00D629D6" w:rsidP="000836C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29D6" w:rsidRPr="00863349" w:rsidRDefault="00D629D6" w:rsidP="000836C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29D6" w:rsidRPr="002F7E7F" w:rsidRDefault="00D629D6" w:rsidP="000836C9"/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29D6" w:rsidRPr="00761921" w:rsidRDefault="00D629D6" w:rsidP="000836C9">
            <w:pPr>
              <w:rPr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629D6" w:rsidRPr="00863349" w:rsidRDefault="00D629D6" w:rsidP="000836C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Показатели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1 Четверть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 xml:space="preserve">Проверочная работа </w:t>
            </w:r>
          </w:p>
          <w:p w:rsidR="00D629D6" w:rsidRPr="004B0C2E" w:rsidRDefault="00D629D6" w:rsidP="000836C9">
            <w:pPr>
              <w:jc w:val="center"/>
            </w:pPr>
            <w:r w:rsidRPr="004B0C2E">
              <w:t>№1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Проверочная работа</w:t>
            </w:r>
          </w:p>
          <w:p w:rsidR="00D629D6" w:rsidRPr="004B0C2E" w:rsidRDefault="00D629D6" w:rsidP="000836C9">
            <w:pPr>
              <w:jc w:val="center"/>
            </w:pPr>
            <w:r w:rsidRPr="004B0C2E">
              <w:t xml:space="preserve"> №2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 xml:space="preserve">Проверочная работа </w:t>
            </w:r>
          </w:p>
          <w:p w:rsidR="00D629D6" w:rsidRPr="004B0C2E" w:rsidRDefault="00D629D6" w:rsidP="000836C9">
            <w:pPr>
              <w:jc w:val="center"/>
            </w:pPr>
            <w:r w:rsidRPr="004B0C2E">
              <w:t>№3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Проверочная работа</w:t>
            </w:r>
          </w:p>
          <w:p w:rsidR="00D629D6" w:rsidRPr="004B0C2E" w:rsidRDefault="00D629D6" w:rsidP="000836C9">
            <w:pPr>
              <w:jc w:val="center"/>
            </w:pPr>
            <w:r w:rsidRPr="004B0C2E">
              <w:t xml:space="preserve"> №4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Среднее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29D6" w:rsidRPr="001367D0" w:rsidRDefault="00D629D6" w:rsidP="000836C9">
            <w:pPr>
              <w:jc w:val="center"/>
            </w:pPr>
            <w:r>
              <w:t>5,6</w:t>
            </w:r>
          </w:p>
        </w:tc>
        <w:tc>
          <w:tcPr>
            <w:tcW w:w="15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  <w:lang w:val="en-US"/>
              </w:rPr>
            </w:pPr>
            <w:r>
              <w:rPr>
                <w:sz w:val="25"/>
                <w:szCs w:val="25"/>
                <w:lang w:val="en-US"/>
              </w:rPr>
              <w:t>6</w:t>
            </w:r>
            <w:r>
              <w:rPr>
                <w:sz w:val="25"/>
                <w:szCs w:val="25"/>
              </w:rPr>
              <w:t>,</w:t>
            </w:r>
            <w:r w:rsidRPr="00AD26CA">
              <w:rPr>
                <w:sz w:val="25"/>
                <w:szCs w:val="25"/>
                <w:lang w:val="en-US"/>
              </w:rPr>
              <w:t>4</w:t>
            </w:r>
          </w:p>
        </w:tc>
        <w:tc>
          <w:tcPr>
            <w:tcW w:w="15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6,4</w:t>
            </w:r>
          </w:p>
        </w:tc>
        <w:tc>
          <w:tcPr>
            <w:tcW w:w="1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6,5</w:t>
            </w:r>
          </w:p>
        </w:tc>
        <w:tc>
          <w:tcPr>
            <w:tcW w:w="1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6,7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Стандартная ошибка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3643EC" w:rsidRDefault="00D629D6" w:rsidP="000836C9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3643EC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  <w:lang w:val="en-US"/>
              </w:rPr>
              <w:t>0</w:t>
            </w:r>
            <w:r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  <w:lang w:val="en-US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0,45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0,39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Медиана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,</w:t>
            </w:r>
            <w:r w:rsidRPr="00AD26CA">
              <w:rPr>
                <w:lang w:val="en-US"/>
              </w:rPr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  <w:lang w:val="en-US"/>
              </w:rPr>
            </w:pPr>
            <w:r w:rsidRPr="00AD26CA">
              <w:rPr>
                <w:sz w:val="25"/>
                <w:szCs w:val="25"/>
              </w:rPr>
              <w:t>6</w:t>
            </w:r>
            <w:r>
              <w:rPr>
                <w:sz w:val="25"/>
                <w:szCs w:val="25"/>
              </w:rPr>
              <w:t>,</w:t>
            </w:r>
            <w:r w:rsidRPr="00AD26CA">
              <w:rPr>
                <w:sz w:val="25"/>
                <w:szCs w:val="25"/>
                <w:lang w:val="en-US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6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Мода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lang w:val="en-US"/>
              </w:rPr>
            </w:pPr>
            <w:r w:rsidRPr="00AD26CA">
              <w:rPr>
                <w:lang w:val="en-US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  <w:lang w:val="en-US"/>
              </w:rPr>
            </w:pPr>
            <w:r w:rsidRPr="00AD26CA">
              <w:rPr>
                <w:sz w:val="25"/>
                <w:szCs w:val="25"/>
                <w:lang w:val="en-US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6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Стандартное отклонение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D210B4">
            <w:pPr>
              <w:jc w:val="center"/>
              <w:rPr>
                <w:lang w:val="en-US"/>
              </w:rPr>
            </w:pPr>
            <w:r w:rsidRPr="00AD26CA">
              <w:rPr>
                <w:lang w:val="en-US"/>
              </w:rPr>
              <w:t>2</w:t>
            </w:r>
            <w:r>
              <w:t>,</w:t>
            </w:r>
            <w:r w:rsidRPr="00AD26CA">
              <w:rPr>
                <w:lang w:val="en-US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  <w:lang w:val="en-US"/>
              </w:rPr>
            </w:pPr>
            <w:r>
              <w:rPr>
                <w:sz w:val="25"/>
                <w:szCs w:val="25"/>
                <w:lang w:val="en-US"/>
              </w:rPr>
              <w:t>1</w:t>
            </w:r>
            <w:r>
              <w:rPr>
                <w:sz w:val="25"/>
                <w:szCs w:val="25"/>
              </w:rPr>
              <w:t>,</w:t>
            </w:r>
            <w:r w:rsidRPr="00AD26CA">
              <w:rPr>
                <w:sz w:val="25"/>
                <w:szCs w:val="25"/>
                <w:lang w:val="en-US"/>
              </w:rPr>
              <w:t>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1,68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2,07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1,44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Дисперсия выборки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1B175C" w:rsidRDefault="00D629D6" w:rsidP="00D210B4">
            <w:pPr>
              <w:jc w:val="center"/>
            </w:pPr>
            <w:r>
              <w:rPr>
                <w:lang w:val="en-US"/>
              </w:rPr>
              <w:t>4</w:t>
            </w:r>
            <w:r>
              <w:t>,4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  <w:lang w:val="en-US"/>
              </w:rPr>
            </w:pPr>
            <w:r>
              <w:rPr>
                <w:sz w:val="25"/>
                <w:szCs w:val="25"/>
                <w:lang w:val="en-US"/>
              </w:rPr>
              <w:t>3</w:t>
            </w:r>
            <w:r>
              <w:rPr>
                <w:sz w:val="25"/>
                <w:szCs w:val="25"/>
              </w:rPr>
              <w:t>,</w:t>
            </w:r>
            <w:r w:rsidRPr="00AD26CA">
              <w:rPr>
                <w:sz w:val="25"/>
                <w:szCs w:val="25"/>
                <w:lang w:val="en-US"/>
              </w:rPr>
              <w:t>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2,84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4,27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2,06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Эксцесс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</w:t>
            </w:r>
            <w:r>
              <w:t>,</w:t>
            </w:r>
            <w:r w:rsidRPr="00AD26CA">
              <w:rPr>
                <w:lang w:val="en-US"/>
              </w:rPr>
              <w:t>19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  <w:lang w:val="en-US"/>
              </w:rPr>
            </w:pPr>
            <w:r w:rsidRPr="00AD26CA">
              <w:rPr>
                <w:sz w:val="25"/>
                <w:szCs w:val="25"/>
              </w:rPr>
              <w:t>-</w:t>
            </w:r>
            <w:r>
              <w:rPr>
                <w:sz w:val="25"/>
                <w:szCs w:val="25"/>
                <w:lang w:val="en-US"/>
              </w:rPr>
              <w:t>0</w:t>
            </w:r>
            <w:r>
              <w:rPr>
                <w:sz w:val="25"/>
                <w:szCs w:val="25"/>
              </w:rPr>
              <w:t>,</w:t>
            </w:r>
            <w:r w:rsidRPr="00AD26CA">
              <w:rPr>
                <w:sz w:val="25"/>
                <w:szCs w:val="25"/>
                <w:lang w:val="en-US"/>
              </w:rPr>
              <w:t>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-0,96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-1,22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-0,63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Асимметричность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lang w:val="en-US"/>
              </w:rPr>
            </w:pPr>
            <w:r w:rsidRPr="00AD26CA">
              <w:t>0</w:t>
            </w:r>
            <w:r>
              <w:t>,</w:t>
            </w:r>
            <w:r w:rsidRPr="00AD26CA">
              <w:rPr>
                <w:lang w:val="en-US"/>
              </w:rPr>
              <w:t>38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  <w:lang w:val="en-US"/>
              </w:rPr>
            </w:pPr>
            <w:r w:rsidRPr="00AD26CA">
              <w:rPr>
                <w:sz w:val="25"/>
                <w:szCs w:val="25"/>
              </w:rPr>
              <w:t>-0,14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0,38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-0,20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-0,16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Интервал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</w:pPr>
            <w:r w:rsidRPr="00AD26CA"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  <w:lang w:val="en-US"/>
              </w:rPr>
            </w:pPr>
            <w:r w:rsidRPr="00AD26CA">
              <w:rPr>
                <w:sz w:val="25"/>
                <w:szCs w:val="25"/>
                <w:lang w:val="en-US"/>
              </w:rPr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5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Минимум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</w:pPr>
            <w:r w:rsidRPr="00AD26CA"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  <w:lang w:val="en-US"/>
              </w:rPr>
            </w:pPr>
            <w:r w:rsidRPr="00AD26CA">
              <w:rPr>
                <w:sz w:val="25"/>
                <w:szCs w:val="25"/>
                <w:lang w:val="en-US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4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Максимум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</w:pPr>
            <w:r w:rsidRPr="00AD26CA">
              <w:t>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9</w:t>
            </w:r>
          </w:p>
        </w:tc>
      </w:tr>
      <w:tr w:rsidR="00D629D6" w:rsidRPr="005264F8" w:rsidTr="004B0C2E">
        <w:trPr>
          <w:trHeight w:val="257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Сумма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lang w:val="en-US"/>
              </w:rPr>
            </w:pPr>
            <w:r w:rsidRPr="00AD26CA">
              <w:rPr>
                <w:lang w:val="en-US"/>
              </w:rPr>
              <w:t>79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  <w:lang w:val="en-US"/>
              </w:rPr>
            </w:pPr>
            <w:r w:rsidRPr="00AD26CA">
              <w:rPr>
                <w:sz w:val="25"/>
                <w:szCs w:val="25"/>
                <w:lang w:val="en-US"/>
              </w:rPr>
              <w:t>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88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84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87</w:t>
            </w:r>
          </w:p>
        </w:tc>
      </w:tr>
      <w:tr w:rsidR="00D629D6" w:rsidRPr="005264F8" w:rsidTr="004B0C2E">
        <w:trPr>
          <w:trHeight w:val="71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</w:pPr>
            <w:r w:rsidRPr="004B0C2E">
              <w:t>Счет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lang w:val="en-US"/>
              </w:rPr>
            </w:pPr>
            <w:r w:rsidRPr="00AD26CA">
              <w:t>1</w:t>
            </w:r>
            <w:r w:rsidRPr="00AD26CA">
              <w:rPr>
                <w:lang w:val="en-US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  <w:lang w:val="en-US"/>
              </w:rPr>
            </w:pPr>
            <w:r w:rsidRPr="00AD26CA">
              <w:rPr>
                <w:sz w:val="25"/>
                <w:szCs w:val="25"/>
                <w:lang w:val="en-US"/>
              </w:rPr>
              <w:t>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14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13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9D6" w:rsidRPr="00AD26CA" w:rsidRDefault="00D629D6" w:rsidP="000836C9">
            <w:pPr>
              <w:jc w:val="center"/>
              <w:rPr>
                <w:sz w:val="25"/>
                <w:szCs w:val="25"/>
              </w:rPr>
            </w:pPr>
            <w:r w:rsidRPr="00AD26CA">
              <w:rPr>
                <w:sz w:val="25"/>
                <w:szCs w:val="25"/>
              </w:rPr>
              <w:t>13</w:t>
            </w:r>
          </w:p>
        </w:tc>
      </w:tr>
    </w:tbl>
    <w:p w:rsidR="00D629D6" w:rsidRDefault="00D629D6" w:rsidP="004B0C2E">
      <w:pPr>
        <w:ind w:firstLine="709"/>
        <w:jc w:val="both"/>
        <w:rPr>
          <w:bCs/>
          <w:iCs/>
          <w:sz w:val="28"/>
          <w:szCs w:val="28"/>
        </w:rPr>
      </w:pPr>
    </w:p>
    <w:p w:rsidR="00D629D6" w:rsidRDefault="00D629D6" w:rsidP="003643EC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Из таблицы 1 видно, что средние баллы по проверочным работам возрастают, медиана – возрастает по проверочной работе 1, и стабильна на проверочных работах 2-4. Мода выше по проверочной работе 3, она показывает наиболее повторяющиеся отметки.  Минимальные оценки по проверочным работам 3 и 4 – 4 балла. Максимум по всем работам составил 9 баллов. Стандартная ошибка, тем более достоверна, чем меньше ее показатель.</w:t>
      </w:r>
    </w:p>
    <w:p w:rsidR="00D629D6" w:rsidRDefault="00D629D6" w:rsidP="003643EC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таблице 2 отражены результаты статистической обработки в 8 «А» классе.</w:t>
      </w:r>
    </w:p>
    <w:p w:rsidR="00D629D6" w:rsidRDefault="00D629D6" w:rsidP="004B0C2E">
      <w:pPr>
        <w:ind w:firstLine="709"/>
        <w:jc w:val="both"/>
        <w:rPr>
          <w:bCs/>
          <w:iCs/>
          <w:sz w:val="28"/>
          <w:szCs w:val="28"/>
        </w:rPr>
      </w:pPr>
    </w:p>
    <w:p w:rsidR="00D629D6" w:rsidRPr="008E6CA2" w:rsidRDefault="00D629D6" w:rsidP="004B0C2E">
      <w:pPr>
        <w:ind w:firstLine="709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Таблица 2</w:t>
      </w:r>
      <w:r w:rsidRPr="008E6CA2">
        <w:rPr>
          <w:b/>
          <w:sz w:val="25"/>
          <w:szCs w:val="25"/>
        </w:rPr>
        <w:t xml:space="preserve"> – Результаты обработки полученных данных </w:t>
      </w:r>
      <w:r w:rsidRPr="008E6CA2">
        <w:rPr>
          <w:b/>
          <w:spacing w:val="-20"/>
          <w:sz w:val="25"/>
          <w:szCs w:val="25"/>
        </w:rPr>
        <w:t>8 «А» класса</w:t>
      </w:r>
    </w:p>
    <w:tbl>
      <w:tblPr>
        <w:tblpPr w:leftFromText="180" w:rightFromText="180" w:vertAnchor="text" w:horzAnchor="margin" w:tblpY="196"/>
        <w:tblW w:w="9906" w:type="dxa"/>
        <w:tblLook w:val="00A0"/>
      </w:tblPr>
      <w:tblGrid>
        <w:gridCol w:w="2093"/>
        <w:gridCol w:w="1276"/>
        <w:gridCol w:w="1701"/>
        <w:gridCol w:w="1559"/>
        <w:gridCol w:w="1559"/>
        <w:gridCol w:w="1718"/>
      </w:tblGrid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Cs w:val="25"/>
              </w:rPr>
            </w:pPr>
            <w:r w:rsidRPr="008E6CA2">
              <w:rPr>
                <w:szCs w:val="25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noWrap/>
            <w:vAlign w:val="center"/>
          </w:tcPr>
          <w:p w:rsidR="00D629D6" w:rsidRDefault="00D629D6" w:rsidP="000836C9">
            <w:pPr>
              <w:jc w:val="center"/>
              <w:rPr>
                <w:szCs w:val="25"/>
              </w:rPr>
            </w:pPr>
            <w:r>
              <w:rPr>
                <w:szCs w:val="25"/>
              </w:rPr>
              <w:t xml:space="preserve"> 1</w:t>
            </w:r>
          </w:p>
          <w:p w:rsidR="00D629D6" w:rsidRPr="008E6CA2" w:rsidRDefault="00D629D6" w:rsidP="000836C9">
            <w:pPr>
              <w:jc w:val="center"/>
              <w:rPr>
                <w:szCs w:val="25"/>
              </w:rPr>
            </w:pPr>
            <w:r w:rsidRPr="008E6CA2">
              <w:rPr>
                <w:szCs w:val="25"/>
              </w:rPr>
              <w:t>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Cs w:val="25"/>
              </w:rPr>
            </w:pPr>
            <w:r w:rsidRPr="008E6CA2">
              <w:rPr>
                <w:szCs w:val="25"/>
              </w:rPr>
              <w:t>Проверочная работа</w:t>
            </w:r>
          </w:p>
          <w:p w:rsidR="00D629D6" w:rsidRPr="008E6CA2" w:rsidRDefault="00D629D6" w:rsidP="000836C9">
            <w:pPr>
              <w:jc w:val="center"/>
              <w:rPr>
                <w:szCs w:val="25"/>
              </w:rPr>
            </w:pPr>
            <w:r w:rsidRPr="008E6CA2">
              <w:rPr>
                <w:szCs w:val="25"/>
              </w:rPr>
              <w:t xml:space="preserve"> №1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Cs w:val="25"/>
              </w:rPr>
            </w:pPr>
            <w:r w:rsidRPr="008E6CA2">
              <w:rPr>
                <w:szCs w:val="25"/>
              </w:rPr>
              <w:t xml:space="preserve">Проверочная работа </w:t>
            </w:r>
          </w:p>
          <w:p w:rsidR="00D629D6" w:rsidRPr="008E6CA2" w:rsidRDefault="00D629D6" w:rsidP="000836C9">
            <w:pPr>
              <w:jc w:val="center"/>
              <w:rPr>
                <w:szCs w:val="25"/>
              </w:rPr>
            </w:pPr>
            <w:r w:rsidRPr="008E6CA2">
              <w:rPr>
                <w:szCs w:val="25"/>
              </w:rPr>
              <w:t>№2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Cs w:val="25"/>
              </w:rPr>
            </w:pPr>
            <w:r w:rsidRPr="008E6CA2">
              <w:rPr>
                <w:szCs w:val="25"/>
              </w:rPr>
              <w:t xml:space="preserve">Проверочная работа </w:t>
            </w:r>
          </w:p>
          <w:p w:rsidR="00D629D6" w:rsidRPr="008E6CA2" w:rsidRDefault="00D629D6" w:rsidP="000836C9">
            <w:pPr>
              <w:jc w:val="center"/>
              <w:rPr>
                <w:szCs w:val="25"/>
              </w:rPr>
            </w:pPr>
            <w:r w:rsidRPr="008E6CA2">
              <w:rPr>
                <w:szCs w:val="25"/>
              </w:rPr>
              <w:t>№3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Cs w:val="25"/>
              </w:rPr>
            </w:pPr>
            <w:r w:rsidRPr="008E6CA2">
              <w:rPr>
                <w:szCs w:val="25"/>
              </w:rPr>
              <w:t xml:space="preserve">Проверочная работа </w:t>
            </w:r>
          </w:p>
          <w:p w:rsidR="00D629D6" w:rsidRPr="008E6CA2" w:rsidRDefault="00D629D6" w:rsidP="000836C9">
            <w:pPr>
              <w:jc w:val="center"/>
              <w:rPr>
                <w:szCs w:val="25"/>
              </w:rPr>
            </w:pPr>
            <w:r w:rsidRPr="008E6CA2">
              <w:rPr>
                <w:szCs w:val="25"/>
              </w:rPr>
              <w:t>№4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Среднее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E01A3A">
            <w:pPr>
              <w:jc w:val="center"/>
              <w:rPr>
                <w:sz w:val="28"/>
                <w:szCs w:val="25"/>
              </w:rPr>
            </w:pPr>
            <w:r>
              <w:rPr>
                <w:sz w:val="28"/>
                <w:szCs w:val="25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5,4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5,9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5,9</w:t>
            </w:r>
          </w:p>
        </w:tc>
        <w:tc>
          <w:tcPr>
            <w:tcW w:w="171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5,8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Стандартная ошибка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0,54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>
              <w:rPr>
                <w:sz w:val="28"/>
                <w:szCs w:val="25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0,53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0,5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0,44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Медиана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5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Мода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4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Стандартное отклонение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2,22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2,36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1,99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1,98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1,82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Дисперсия выборки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4,93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5,58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3,98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3,93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3,32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Эксцесс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-0,53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-1,14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-0,76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-0,73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-0,48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Асимметричность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0,92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0,70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0,57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0,28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0,89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Интервал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5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Минимум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4</w:t>
            </w:r>
          </w:p>
        </w:tc>
      </w:tr>
      <w:tr w:rsidR="00D629D6" w:rsidRPr="00B0389C" w:rsidTr="00E01A3A">
        <w:trPr>
          <w:trHeight w:val="25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Максимум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9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95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98</w:t>
            </w:r>
          </w:p>
        </w:tc>
      </w:tr>
      <w:tr w:rsidR="00D629D6" w:rsidRPr="00B0389C" w:rsidTr="00E01A3A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4B0C2E" w:rsidRDefault="00D629D6" w:rsidP="000836C9">
            <w:pPr>
              <w:jc w:val="center"/>
              <w:rPr>
                <w:szCs w:val="25"/>
              </w:rPr>
            </w:pPr>
            <w:r w:rsidRPr="004B0C2E">
              <w:rPr>
                <w:szCs w:val="25"/>
              </w:rPr>
              <w:t>Счет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16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29D6" w:rsidRPr="008E6CA2" w:rsidRDefault="00D629D6" w:rsidP="000836C9">
            <w:pPr>
              <w:jc w:val="center"/>
              <w:rPr>
                <w:sz w:val="28"/>
                <w:szCs w:val="25"/>
              </w:rPr>
            </w:pPr>
            <w:r w:rsidRPr="008E6CA2">
              <w:rPr>
                <w:sz w:val="28"/>
                <w:szCs w:val="25"/>
              </w:rPr>
              <w:t>17</w:t>
            </w:r>
          </w:p>
        </w:tc>
      </w:tr>
    </w:tbl>
    <w:p w:rsidR="00D629D6" w:rsidRDefault="00D629D6" w:rsidP="00FB5115">
      <w:pPr>
        <w:spacing w:line="360" w:lineRule="auto"/>
        <w:ind w:firstLine="708"/>
        <w:jc w:val="both"/>
        <w:rPr>
          <w:sz w:val="28"/>
          <w:szCs w:val="28"/>
        </w:rPr>
      </w:pPr>
    </w:p>
    <w:p w:rsidR="00D629D6" w:rsidRDefault="00D629D6" w:rsidP="00FB51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таблицы 2 видно, что средние баллы возрастают, но по результатам сравнения 3 и 4 проверочных работ,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средний балл четвертой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проверочной работы снизился на 0,1 балла. Мода и медиана максимальны по проверочной работе № 3.  Данные достоверны, о достоверности свидетельствует стандартная ошибка.</w:t>
      </w:r>
    </w:p>
    <w:p w:rsidR="00D629D6" w:rsidRPr="00857239" w:rsidRDefault="00D629D6" w:rsidP="00E61446">
      <w:pPr>
        <w:pStyle w:val="BodyText2"/>
        <w:spacing w:line="360" w:lineRule="auto"/>
        <w:ind w:firstLine="709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Результаты педагогических исследований показали, что 8 «А» класс является более слабым по химии, в сравнению с 8 «Б» классом.  </w:t>
      </w:r>
      <w:r w:rsidRPr="00EE0879">
        <w:rPr>
          <w:rFonts w:ascii="Times New Roman" w:hAnsi="Times New Roman"/>
          <w:lang w:val="ru-RU"/>
        </w:rPr>
        <w:t>Основны</w:t>
      </w:r>
      <w:r>
        <w:rPr>
          <w:rFonts w:ascii="Times New Roman" w:hAnsi="Times New Roman"/>
          <w:lang w:val="ru-RU"/>
        </w:rPr>
        <w:t>ми</w:t>
      </w:r>
      <w:r w:rsidRPr="00EE0879">
        <w:rPr>
          <w:rFonts w:ascii="Times New Roman" w:hAnsi="Times New Roman"/>
          <w:lang w:val="ru-RU"/>
        </w:rPr>
        <w:t xml:space="preserve"> ошибк</w:t>
      </w:r>
      <w:r>
        <w:rPr>
          <w:rFonts w:ascii="Times New Roman" w:hAnsi="Times New Roman"/>
          <w:lang w:val="ru-RU"/>
        </w:rPr>
        <w:t>ами</w:t>
      </w:r>
      <w:r w:rsidRPr="00EE0879">
        <w:rPr>
          <w:rFonts w:ascii="Times New Roman" w:hAnsi="Times New Roman"/>
          <w:lang w:val="ru-RU"/>
        </w:rPr>
        <w:t>, допущенны</w:t>
      </w:r>
      <w:r>
        <w:rPr>
          <w:rFonts w:ascii="Times New Roman" w:hAnsi="Times New Roman"/>
          <w:lang w:val="ru-RU"/>
        </w:rPr>
        <w:t>ми</w:t>
      </w:r>
      <w:r w:rsidRPr="00EE0879">
        <w:rPr>
          <w:rFonts w:ascii="Times New Roman" w:hAnsi="Times New Roman"/>
          <w:lang w:val="ru-RU"/>
        </w:rPr>
        <w:t xml:space="preserve"> в </w:t>
      </w:r>
      <w:r>
        <w:rPr>
          <w:rFonts w:ascii="Times New Roman" w:hAnsi="Times New Roman"/>
          <w:lang w:val="ru-RU"/>
        </w:rPr>
        <w:t xml:space="preserve">8 «Б» </w:t>
      </w:r>
      <w:r w:rsidRPr="00EE0879">
        <w:rPr>
          <w:rFonts w:ascii="Times New Roman" w:hAnsi="Times New Roman"/>
          <w:lang w:val="ru-RU"/>
        </w:rPr>
        <w:t>класс</w:t>
      </w:r>
      <w:r>
        <w:rPr>
          <w:rFonts w:ascii="Times New Roman" w:hAnsi="Times New Roman"/>
          <w:lang w:val="ru-RU"/>
        </w:rPr>
        <w:t>ена проверочных работах явились:</w:t>
      </w:r>
      <w:r w:rsidRPr="00EE0879">
        <w:rPr>
          <w:rFonts w:ascii="Times New Roman" w:hAnsi="Times New Roman"/>
          <w:lang w:val="ru-RU"/>
        </w:rPr>
        <w:t xml:space="preserve"> не</w:t>
      </w:r>
      <w:r>
        <w:rPr>
          <w:rFonts w:ascii="Times New Roman" w:hAnsi="Times New Roman"/>
          <w:lang w:val="ru-RU"/>
        </w:rPr>
        <w:t xml:space="preserve"> владение</w:t>
      </w:r>
      <w:r w:rsidRPr="00EE0879">
        <w:rPr>
          <w:rFonts w:ascii="Times New Roman" w:hAnsi="Times New Roman"/>
          <w:lang w:val="ru-RU"/>
        </w:rPr>
        <w:t xml:space="preserve"> учащимися спосо</w:t>
      </w:r>
      <w:r>
        <w:rPr>
          <w:rFonts w:ascii="Times New Roman" w:hAnsi="Times New Roman"/>
          <w:lang w:val="ru-RU"/>
        </w:rPr>
        <w:t>бами решения задач</w:t>
      </w:r>
      <w:r w:rsidRPr="00EE0879">
        <w:rPr>
          <w:rFonts w:ascii="Times New Roman" w:hAnsi="Times New Roman"/>
          <w:lang w:val="ru-RU"/>
        </w:rPr>
        <w:t>, неправильные ответы на теоретические вопросы, нечеткие ответы на вопросы</w:t>
      </w:r>
      <w:r>
        <w:rPr>
          <w:rFonts w:ascii="Times New Roman" w:hAnsi="Times New Roman"/>
          <w:lang w:val="ru-RU"/>
        </w:rPr>
        <w:t>, плохое владение знаниями по предыдущим темам. Таким образом, анализируя успеваемость данного класс нужно сказать, что компьютерная технология положительно влияет не только на учащихся со средней и высокой успеваемостью, но также хорошо сказывается на учащихся с низкой успеваемостью.</w:t>
      </w:r>
    </w:p>
    <w:p w:rsidR="00D629D6" w:rsidRPr="00BE0E6E" w:rsidRDefault="00D629D6" w:rsidP="00FB51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исследования</w:t>
      </w:r>
      <w:r w:rsidRPr="00BE0E6E">
        <w:rPr>
          <w:sz w:val="28"/>
          <w:szCs w:val="28"/>
        </w:rPr>
        <w:t xml:space="preserve"> рассмотрены приемы и методы по развитию познавательной активности учащихся. Применение методов компьютерной и игровых технологий, и их сочетание между собой, привело к тому, что уровень познавательной активности вырос. Это позволяет сделать вывод, что внедрение новых методик и технологий, в том числе компьютерной, повышает уровень знаний и активность учащихся средней школы. </w:t>
      </w:r>
    </w:p>
    <w:p w:rsidR="00D629D6" w:rsidRPr="00C00F0A" w:rsidRDefault="00D629D6" w:rsidP="00FB5115">
      <w:pPr>
        <w:spacing w:line="360" w:lineRule="auto"/>
        <w:ind w:firstLine="708"/>
        <w:jc w:val="both"/>
        <w:rPr>
          <w:sz w:val="28"/>
          <w:szCs w:val="28"/>
        </w:rPr>
      </w:pPr>
      <w:r w:rsidRPr="0041712D">
        <w:rPr>
          <w:sz w:val="28"/>
          <w:szCs w:val="28"/>
        </w:rPr>
        <w:t>Применение компьютерных средств</w:t>
      </w:r>
      <w:r>
        <w:rPr>
          <w:sz w:val="28"/>
          <w:szCs w:val="28"/>
        </w:rPr>
        <w:t xml:space="preserve">, познавательной игры, словесно </w:t>
      </w:r>
      <w:r w:rsidRPr="00463BFD">
        <w:rPr>
          <w:sz w:val="28"/>
          <w:szCs w:val="28"/>
        </w:rPr>
        <w:t>–</w:t>
      </w:r>
      <w:r>
        <w:rPr>
          <w:sz w:val="28"/>
          <w:szCs w:val="28"/>
        </w:rPr>
        <w:t xml:space="preserve"> наглядного метода</w:t>
      </w:r>
      <w:r w:rsidRPr="0041712D">
        <w:rPr>
          <w:sz w:val="28"/>
          <w:szCs w:val="28"/>
        </w:rPr>
        <w:t xml:space="preserve"> учебного назначения позволяет отметить, что качество обучения повышается за счет его индивидуализации, анализа и контроля  качества  знаний  на  каждом  этапе  обучения.</w:t>
      </w:r>
    </w:p>
    <w:p w:rsidR="00D629D6" w:rsidRDefault="00D629D6" w:rsidP="000B166B">
      <w:pPr>
        <w:spacing w:line="360" w:lineRule="auto"/>
        <w:jc w:val="both"/>
        <w:rPr>
          <w:b/>
          <w:color w:val="000000"/>
          <w:sz w:val="28"/>
          <w:szCs w:val="20"/>
        </w:rPr>
      </w:pPr>
      <w:r w:rsidRPr="00B4315C">
        <w:rPr>
          <w:b/>
          <w:color w:val="000000"/>
          <w:sz w:val="28"/>
          <w:szCs w:val="20"/>
        </w:rPr>
        <w:t>Литература</w:t>
      </w:r>
      <w:r>
        <w:rPr>
          <w:b/>
          <w:color w:val="000000"/>
          <w:sz w:val="28"/>
          <w:szCs w:val="20"/>
        </w:rPr>
        <w:t>:</w:t>
      </w:r>
    </w:p>
    <w:p w:rsidR="00D629D6" w:rsidRPr="0056279D" w:rsidRDefault="00D629D6" w:rsidP="000B166B">
      <w:pPr>
        <w:pStyle w:val="ListParagraph"/>
        <w:numPr>
          <w:ilvl w:val="0"/>
          <w:numId w:val="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Сеген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Е.А. Практико-</w:t>
      </w:r>
      <w:r w:rsidRPr="00CE3B6B">
        <w:rPr>
          <w:sz w:val="28"/>
          <w:szCs w:val="28"/>
        </w:rPr>
        <w:t xml:space="preserve">ориентированный подход к обучению химии, </w:t>
      </w:r>
      <w:r w:rsidRPr="0056279D">
        <w:rPr>
          <w:sz w:val="28"/>
          <w:szCs w:val="28"/>
        </w:rPr>
        <w:t>как фактор развития тв</w:t>
      </w:r>
      <w:r>
        <w:rPr>
          <w:sz w:val="28"/>
          <w:szCs w:val="28"/>
        </w:rPr>
        <w:t>орческих  способностей учащихся</w:t>
      </w:r>
      <w:r w:rsidRPr="0056279D">
        <w:rPr>
          <w:sz w:val="28"/>
          <w:szCs w:val="28"/>
        </w:rPr>
        <w:t>/ Е.А. Сеген //  – Бiялогiя i xiмiя. –2015. – №7(31)</w:t>
      </w:r>
      <w:r>
        <w:rPr>
          <w:sz w:val="28"/>
          <w:szCs w:val="28"/>
        </w:rPr>
        <w:t>. – С. 4</w:t>
      </w:r>
      <w:r w:rsidRPr="00C05C5C">
        <w:rPr>
          <w:sz w:val="28"/>
          <w:szCs w:val="28"/>
        </w:rPr>
        <w:t>–</w:t>
      </w:r>
      <w:r w:rsidRPr="0056279D">
        <w:rPr>
          <w:sz w:val="28"/>
          <w:szCs w:val="28"/>
        </w:rPr>
        <w:t>8.</w:t>
      </w:r>
    </w:p>
    <w:p w:rsidR="00D629D6" w:rsidRDefault="00D629D6" w:rsidP="000B166B">
      <w:pPr>
        <w:pStyle w:val="ListParagraph"/>
        <w:numPr>
          <w:ilvl w:val="0"/>
          <w:numId w:val="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Черняк, Е.М. </w:t>
      </w:r>
      <w:r w:rsidRPr="00C05C5C">
        <w:rPr>
          <w:sz w:val="28"/>
          <w:szCs w:val="28"/>
        </w:rPr>
        <w:t>Использование элементов бионики для активиза</w:t>
      </w:r>
      <w:r>
        <w:rPr>
          <w:sz w:val="28"/>
          <w:szCs w:val="28"/>
        </w:rPr>
        <w:t xml:space="preserve">ции познавательной деятельности </w:t>
      </w:r>
      <w:r w:rsidRPr="003A3820">
        <w:rPr>
          <w:sz w:val="28"/>
          <w:szCs w:val="28"/>
        </w:rPr>
        <w:t xml:space="preserve">/ </w:t>
      </w:r>
      <w:r>
        <w:rPr>
          <w:sz w:val="28"/>
          <w:szCs w:val="28"/>
        </w:rPr>
        <w:t>Е.М. Черняк</w:t>
      </w:r>
      <w:r w:rsidRPr="003A3820">
        <w:rPr>
          <w:sz w:val="28"/>
          <w:szCs w:val="28"/>
        </w:rPr>
        <w:t xml:space="preserve"> //</w:t>
      </w:r>
      <w:r w:rsidRPr="00C05C5C">
        <w:rPr>
          <w:sz w:val="28"/>
          <w:szCs w:val="28"/>
        </w:rPr>
        <w:t xml:space="preserve"> Б</w:t>
      </w:r>
      <w:r w:rsidRPr="00C05C5C">
        <w:rPr>
          <w:sz w:val="28"/>
          <w:szCs w:val="28"/>
          <w:lang w:val="en-US"/>
        </w:rPr>
        <w:t>i</w:t>
      </w:r>
      <w:r w:rsidRPr="00C05C5C">
        <w:rPr>
          <w:sz w:val="28"/>
          <w:szCs w:val="28"/>
        </w:rPr>
        <w:t>ялог</w:t>
      </w:r>
      <w:r w:rsidRPr="00C05C5C">
        <w:rPr>
          <w:sz w:val="28"/>
          <w:szCs w:val="28"/>
          <w:lang w:val="en-US"/>
        </w:rPr>
        <w:t>i</w:t>
      </w:r>
      <w:r w:rsidRPr="00C05C5C">
        <w:rPr>
          <w:sz w:val="28"/>
          <w:szCs w:val="28"/>
        </w:rPr>
        <w:t xml:space="preserve">я </w:t>
      </w:r>
      <w:r w:rsidRPr="00C05C5C">
        <w:rPr>
          <w:sz w:val="28"/>
          <w:szCs w:val="28"/>
          <w:lang w:val="en-US"/>
        </w:rPr>
        <w:t>ixi</w:t>
      </w:r>
      <w:r w:rsidRPr="00C05C5C">
        <w:rPr>
          <w:sz w:val="28"/>
          <w:szCs w:val="28"/>
        </w:rPr>
        <w:t>м</w:t>
      </w:r>
      <w:r w:rsidRPr="00C05C5C">
        <w:rPr>
          <w:sz w:val="28"/>
          <w:szCs w:val="28"/>
          <w:lang w:val="en-US"/>
        </w:rPr>
        <w:t>i</w:t>
      </w:r>
      <w:r w:rsidRPr="00C05C5C">
        <w:rPr>
          <w:sz w:val="28"/>
          <w:szCs w:val="28"/>
        </w:rPr>
        <w:t>я</w:t>
      </w:r>
      <w:r w:rsidRPr="003A3820">
        <w:rPr>
          <w:sz w:val="28"/>
          <w:szCs w:val="28"/>
        </w:rPr>
        <w:t>.</w:t>
      </w:r>
      <w:r>
        <w:rPr>
          <w:sz w:val="28"/>
          <w:szCs w:val="28"/>
        </w:rPr>
        <w:t>– 2015.</w:t>
      </w:r>
      <w:r w:rsidRPr="003A3820">
        <w:rPr>
          <w:sz w:val="28"/>
          <w:szCs w:val="28"/>
        </w:rPr>
        <w:t xml:space="preserve"> –</w:t>
      </w:r>
      <w:r w:rsidRPr="00C05C5C">
        <w:rPr>
          <w:sz w:val="28"/>
          <w:szCs w:val="28"/>
        </w:rPr>
        <w:t>№11(35</w:t>
      </w:r>
      <w:r>
        <w:rPr>
          <w:sz w:val="28"/>
          <w:szCs w:val="28"/>
        </w:rPr>
        <w:t>). – С. 33</w:t>
      </w:r>
      <w:r w:rsidRPr="00C05C5C">
        <w:rPr>
          <w:sz w:val="28"/>
          <w:szCs w:val="28"/>
        </w:rPr>
        <w:t>–34</w:t>
      </w:r>
      <w:r>
        <w:rPr>
          <w:sz w:val="28"/>
          <w:szCs w:val="28"/>
        </w:rPr>
        <w:t>.</w:t>
      </w:r>
    </w:p>
    <w:p w:rsidR="00D629D6" w:rsidRPr="00B4315C" w:rsidRDefault="00D629D6" w:rsidP="000B166B">
      <w:pPr>
        <w:pStyle w:val="ListParagraph"/>
        <w:spacing w:line="360" w:lineRule="auto"/>
        <w:ind w:left="1429"/>
        <w:jc w:val="both"/>
        <w:rPr>
          <w:color w:val="000000"/>
          <w:sz w:val="28"/>
          <w:szCs w:val="20"/>
        </w:rPr>
      </w:pPr>
    </w:p>
    <w:p w:rsidR="00D629D6" w:rsidRDefault="00D629D6" w:rsidP="00ED161B">
      <w:pPr>
        <w:spacing w:line="360" w:lineRule="auto"/>
        <w:ind w:firstLine="708"/>
        <w:jc w:val="right"/>
        <w:rPr>
          <w:b/>
          <w:sz w:val="28"/>
          <w:szCs w:val="28"/>
        </w:rPr>
      </w:pPr>
      <w:r w:rsidRPr="00ED161B">
        <w:rPr>
          <w:b/>
          <w:sz w:val="28"/>
          <w:szCs w:val="28"/>
        </w:rPr>
        <w:t>Научный руководитель:</w:t>
      </w:r>
    </w:p>
    <w:p w:rsidR="00D629D6" w:rsidRPr="00EE0879" w:rsidRDefault="00D629D6" w:rsidP="00EE0879">
      <w:pPr>
        <w:tabs>
          <w:tab w:val="right" w:pos="9638"/>
        </w:tabs>
        <w:spacing w:line="360" w:lineRule="auto"/>
        <w:jc w:val="right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r w:rsidRPr="00EE0879">
        <w:rPr>
          <w:sz w:val="28"/>
          <w:szCs w:val="28"/>
        </w:rPr>
        <w:t>кандидат химических наук</w:t>
      </w:r>
      <w:r w:rsidRPr="00EE0879">
        <w:rPr>
          <w:sz w:val="28"/>
          <w:szCs w:val="28"/>
          <w:lang w:val="uk-UA"/>
        </w:rPr>
        <w:t>,</w:t>
      </w:r>
      <w:r w:rsidRPr="00EE0879">
        <w:rPr>
          <w:sz w:val="28"/>
          <w:szCs w:val="28"/>
        </w:rPr>
        <w:t xml:space="preserve"> </w:t>
      </w:r>
      <w:bookmarkStart w:id="0" w:name="_GoBack"/>
      <w:bookmarkEnd w:id="0"/>
      <w:r w:rsidRPr="00EE0879">
        <w:rPr>
          <w:sz w:val="28"/>
          <w:szCs w:val="28"/>
        </w:rPr>
        <w:t>доцент Пантелеева Светлана Михайловна</w:t>
      </w:r>
      <w:r w:rsidRPr="00EE0879">
        <w:rPr>
          <w:sz w:val="28"/>
          <w:szCs w:val="28"/>
          <w:lang w:val="uk-UA"/>
        </w:rPr>
        <w:t>.</w:t>
      </w:r>
    </w:p>
    <w:p w:rsidR="00D629D6" w:rsidRDefault="00D629D6" w:rsidP="00FB5115">
      <w:pPr>
        <w:spacing w:line="360" w:lineRule="auto"/>
        <w:ind w:firstLine="708"/>
        <w:jc w:val="both"/>
      </w:pPr>
    </w:p>
    <w:sectPr w:rsidR="00D629D6" w:rsidSect="00FB51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3218F"/>
    <w:multiLevelType w:val="hybridMultilevel"/>
    <w:tmpl w:val="EC3C6548"/>
    <w:lvl w:ilvl="0" w:tplc="CEAEA5E0">
      <w:start w:val="1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441C309F"/>
    <w:multiLevelType w:val="hybridMultilevel"/>
    <w:tmpl w:val="1B22464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270"/>
    <w:rsid w:val="0005045A"/>
    <w:rsid w:val="000836C9"/>
    <w:rsid w:val="00086173"/>
    <w:rsid w:val="000B166B"/>
    <w:rsid w:val="001367D0"/>
    <w:rsid w:val="001B175C"/>
    <w:rsid w:val="00262FA9"/>
    <w:rsid w:val="002F7E7F"/>
    <w:rsid w:val="003343A5"/>
    <w:rsid w:val="003643EC"/>
    <w:rsid w:val="003A3820"/>
    <w:rsid w:val="0041712D"/>
    <w:rsid w:val="0042074E"/>
    <w:rsid w:val="00463BFD"/>
    <w:rsid w:val="00465874"/>
    <w:rsid w:val="004A2270"/>
    <w:rsid w:val="004B0C2E"/>
    <w:rsid w:val="004D35E6"/>
    <w:rsid w:val="005264F8"/>
    <w:rsid w:val="0056279D"/>
    <w:rsid w:val="00596366"/>
    <w:rsid w:val="005A44B9"/>
    <w:rsid w:val="005A63CB"/>
    <w:rsid w:val="00761921"/>
    <w:rsid w:val="007A249E"/>
    <w:rsid w:val="007C5FF4"/>
    <w:rsid w:val="00857239"/>
    <w:rsid w:val="00863349"/>
    <w:rsid w:val="008C5DC7"/>
    <w:rsid w:val="008E6CA2"/>
    <w:rsid w:val="008F5368"/>
    <w:rsid w:val="00924614"/>
    <w:rsid w:val="00943F81"/>
    <w:rsid w:val="00952D60"/>
    <w:rsid w:val="009A5BB2"/>
    <w:rsid w:val="009A7F1A"/>
    <w:rsid w:val="009B5670"/>
    <w:rsid w:val="00AA3B67"/>
    <w:rsid w:val="00AD26CA"/>
    <w:rsid w:val="00B0389C"/>
    <w:rsid w:val="00B4315C"/>
    <w:rsid w:val="00BE0E6E"/>
    <w:rsid w:val="00C00F0A"/>
    <w:rsid w:val="00C05C5C"/>
    <w:rsid w:val="00C265FC"/>
    <w:rsid w:val="00C96F32"/>
    <w:rsid w:val="00CA13DC"/>
    <w:rsid w:val="00CE3B6B"/>
    <w:rsid w:val="00D2023C"/>
    <w:rsid w:val="00D210B4"/>
    <w:rsid w:val="00D258A1"/>
    <w:rsid w:val="00D629D6"/>
    <w:rsid w:val="00DC14AC"/>
    <w:rsid w:val="00E01A3A"/>
    <w:rsid w:val="00E428AA"/>
    <w:rsid w:val="00E51E5E"/>
    <w:rsid w:val="00E61446"/>
    <w:rsid w:val="00ED161B"/>
    <w:rsid w:val="00EE0879"/>
    <w:rsid w:val="00F54CF0"/>
    <w:rsid w:val="00FB5115"/>
    <w:rsid w:val="00FB7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27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E428AA"/>
    <w:pPr>
      <w:jc w:val="both"/>
    </w:pPr>
    <w:rPr>
      <w:rFonts w:ascii="Arial" w:eastAsia="Calibri" w:hAnsi="Arial"/>
      <w:sz w:val="28"/>
      <w:szCs w:val="20"/>
      <w:lang w:val="en-US" w:eastAsia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428AA"/>
    <w:rPr>
      <w:rFonts w:ascii="Arial" w:eastAsia="Times New Roman" w:hAnsi="Arial"/>
      <w:sz w:val="20"/>
      <w:lang/>
    </w:rPr>
  </w:style>
  <w:style w:type="character" w:customStyle="1" w:styleId="2">
    <w:name w:val="Основной текст 2 Знак"/>
    <w:basedOn w:val="DefaultParagraphFont"/>
    <w:uiPriority w:val="99"/>
    <w:semiHidden/>
    <w:rsid w:val="00E428AA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431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5</Pages>
  <Words>5053</Words>
  <Characters>2881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3</cp:revision>
  <dcterms:created xsi:type="dcterms:W3CDTF">2018-07-23T16:22:00Z</dcterms:created>
  <dcterms:modified xsi:type="dcterms:W3CDTF">2018-07-30T07:05:00Z</dcterms:modified>
</cp:coreProperties>
</file>