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5C0" w:rsidRPr="00B75ED3" w:rsidRDefault="007F35C0" w:rsidP="00111472">
      <w:pPr>
        <w:spacing w:after="0" w:line="240" w:lineRule="auto"/>
        <w:ind w:left="-540"/>
        <w:jc w:val="right"/>
        <w:rPr>
          <w:rFonts w:ascii="Times New Roman" w:hAnsi="Times New Roman"/>
          <w:b/>
          <w:color w:val="000000"/>
          <w:sz w:val="24"/>
          <w:szCs w:val="24"/>
          <w:lang w:val="uk-UA"/>
        </w:rPr>
      </w:pPr>
      <w:r w:rsidRPr="00B75ED3">
        <w:rPr>
          <w:rFonts w:ascii="Times New Roman" w:hAnsi="Times New Roman"/>
          <w:b/>
          <w:sz w:val="28"/>
          <w:szCs w:val="28"/>
          <w:lang w:val="uk-UA"/>
        </w:rPr>
        <w:t>Ольга, Лучанінова, Анастасія</w:t>
      </w:r>
      <w:r w:rsidRPr="00B75ED3">
        <w:rPr>
          <w:rFonts w:ascii="Times New Roman" w:hAnsi="Times New Roman"/>
          <w:b/>
          <w:color w:val="000000"/>
          <w:sz w:val="24"/>
          <w:szCs w:val="24"/>
          <w:lang w:val="uk-UA"/>
        </w:rPr>
        <w:t xml:space="preserve"> </w:t>
      </w:r>
      <w:r w:rsidRPr="00B75ED3">
        <w:rPr>
          <w:rFonts w:ascii="Times New Roman" w:hAnsi="Times New Roman"/>
          <w:b/>
          <w:sz w:val="28"/>
          <w:szCs w:val="28"/>
          <w:lang w:val="uk-UA"/>
        </w:rPr>
        <w:t>Соколова</w:t>
      </w:r>
    </w:p>
    <w:p w:rsidR="007F35C0" w:rsidRPr="00B75ED3" w:rsidRDefault="007F35C0" w:rsidP="00111472">
      <w:pPr>
        <w:spacing w:after="0" w:line="240" w:lineRule="auto"/>
        <w:ind w:left="-540"/>
        <w:jc w:val="right"/>
        <w:rPr>
          <w:rFonts w:ascii="Times New Roman" w:hAnsi="Times New Roman"/>
          <w:b/>
          <w:color w:val="000000"/>
          <w:sz w:val="28"/>
          <w:szCs w:val="28"/>
          <w:lang w:val="uk-UA"/>
        </w:rPr>
      </w:pPr>
      <w:r w:rsidRPr="00B75ED3">
        <w:rPr>
          <w:rFonts w:ascii="Times New Roman" w:hAnsi="Times New Roman"/>
          <w:b/>
          <w:color w:val="000000"/>
          <w:sz w:val="24"/>
          <w:szCs w:val="24"/>
          <w:lang w:val="uk-UA"/>
        </w:rPr>
        <w:t xml:space="preserve"> </w:t>
      </w:r>
      <w:r w:rsidRPr="00B75ED3">
        <w:rPr>
          <w:rFonts w:ascii="Times New Roman" w:hAnsi="Times New Roman"/>
          <w:b/>
          <w:color w:val="000000"/>
          <w:sz w:val="28"/>
          <w:szCs w:val="28"/>
          <w:lang w:val="uk-UA"/>
        </w:rPr>
        <w:t xml:space="preserve">(Дніпро, Україна) </w:t>
      </w:r>
    </w:p>
    <w:p w:rsidR="007F35C0" w:rsidRPr="004F59F8" w:rsidRDefault="007F35C0" w:rsidP="00111472">
      <w:pPr>
        <w:spacing w:after="0" w:line="240" w:lineRule="auto"/>
        <w:ind w:left="-540"/>
        <w:jc w:val="right"/>
        <w:rPr>
          <w:rFonts w:ascii="Times New Roman" w:hAnsi="Times New Roman"/>
          <w:color w:val="000000"/>
          <w:sz w:val="24"/>
          <w:szCs w:val="24"/>
          <w:lang w:val="uk-UA"/>
        </w:rPr>
      </w:pPr>
    </w:p>
    <w:p w:rsidR="007F35C0" w:rsidRPr="004F59F8" w:rsidRDefault="007F35C0" w:rsidP="00111472">
      <w:pPr>
        <w:spacing w:after="0" w:line="360" w:lineRule="auto"/>
        <w:ind w:firstLine="709"/>
        <w:jc w:val="center"/>
        <w:rPr>
          <w:rFonts w:ascii="Times New Roman" w:hAnsi="Times New Roman"/>
          <w:b/>
          <w:color w:val="000000"/>
          <w:sz w:val="24"/>
          <w:szCs w:val="24"/>
          <w:lang w:val="uk-UA"/>
        </w:rPr>
      </w:pPr>
      <w:r w:rsidRPr="004F59F8">
        <w:rPr>
          <w:rFonts w:ascii="Times New Roman" w:hAnsi="Times New Roman"/>
          <w:b/>
          <w:sz w:val="28"/>
          <w:szCs w:val="28"/>
          <w:lang w:val="uk-UA"/>
        </w:rPr>
        <w:t>РОЛЬ МОТИВАЦІЇ У ПРОЦЕСІ ФОРМУВАННЯ ФАХОВИХ УМІНЬ СТУДЕНТІВ</w:t>
      </w:r>
    </w:p>
    <w:p w:rsidR="007F35C0" w:rsidRPr="004F59F8" w:rsidRDefault="007F35C0" w:rsidP="004C2D90">
      <w:pPr>
        <w:spacing w:after="0" w:line="240" w:lineRule="auto"/>
        <w:ind w:left="-540"/>
        <w:jc w:val="center"/>
        <w:rPr>
          <w:rFonts w:ascii="Times New Roman" w:hAnsi="Times New Roman"/>
          <w:b/>
          <w:color w:val="000000"/>
          <w:sz w:val="24"/>
          <w:szCs w:val="24"/>
          <w:lang w:val="uk-UA"/>
        </w:rPr>
      </w:pPr>
    </w:p>
    <w:p w:rsidR="007F35C0" w:rsidRPr="004F59F8" w:rsidRDefault="007F35C0" w:rsidP="00187015">
      <w:pPr>
        <w:spacing w:after="0" w:line="360" w:lineRule="auto"/>
        <w:ind w:firstLine="709"/>
        <w:jc w:val="both"/>
        <w:rPr>
          <w:rFonts w:ascii="Times New Roman" w:hAnsi="Times New Roman"/>
          <w:sz w:val="28"/>
          <w:szCs w:val="28"/>
        </w:rPr>
      </w:pPr>
      <w:r w:rsidRPr="001F5D7A">
        <w:rPr>
          <w:rFonts w:ascii="Times New Roman" w:hAnsi="Times New Roman"/>
          <w:b/>
          <w:sz w:val="28"/>
          <w:szCs w:val="28"/>
          <w:lang w:val="uk-UA"/>
        </w:rPr>
        <w:t>Постановка проблеми</w:t>
      </w:r>
      <w:r w:rsidRPr="004F59F8">
        <w:rPr>
          <w:rFonts w:ascii="Times New Roman" w:hAnsi="Times New Roman"/>
          <w:sz w:val="28"/>
          <w:szCs w:val="28"/>
          <w:lang w:val="uk-UA"/>
        </w:rPr>
        <w:t xml:space="preserve">. </w:t>
      </w:r>
      <w:r w:rsidRPr="004F59F8">
        <w:rPr>
          <w:rFonts w:ascii="Times New Roman" w:hAnsi="Times New Roman"/>
          <w:sz w:val="28"/>
          <w:szCs w:val="28"/>
        </w:rPr>
        <w:t xml:space="preserve">Прогрес у науці і культурі, а також нові потреби у педагогічній діяльності призвели до необхідності модернізації системи освіти. Реформування системи освіти потребує вдосконалення підготовки майбутніх фахівців, підвищення рівня їхніх фахових умінь засобами методів ситуативного навчання. Становлення будь-яких фахових умінь здійснюється через відповідну діяльність. На сьогодні  велика увага приділяється формуванню фахових умінь студентів, що являє собою добру обізнаність у світі інформації.  Завдання підготовки майбутніх фахівців полягає в тому, щоб навчити їх самостійно шукати і освоювати знання, необхідні для успіху їх діяльності в інформаційному суспільстві. </w:t>
      </w:r>
    </w:p>
    <w:p w:rsidR="007F35C0" w:rsidRPr="004F59F8" w:rsidRDefault="007F35C0" w:rsidP="00187015">
      <w:pPr>
        <w:spacing w:after="0" w:line="360" w:lineRule="auto"/>
        <w:ind w:firstLine="709"/>
        <w:jc w:val="both"/>
        <w:rPr>
          <w:rFonts w:ascii="Times New Roman" w:hAnsi="Times New Roman"/>
          <w:sz w:val="28"/>
          <w:szCs w:val="28"/>
        </w:rPr>
      </w:pPr>
      <w:r w:rsidRPr="004F59F8">
        <w:rPr>
          <w:rFonts w:ascii="Times New Roman" w:hAnsi="Times New Roman"/>
          <w:sz w:val="28"/>
          <w:szCs w:val="28"/>
        </w:rPr>
        <w:t xml:space="preserve">Сучасному суспільству для ефективного функціонування притаманні вимоги до фахових умінь студента. Формування фахових умінь є одним із головних завдань системи професійної підготовки майбутніх фахівців. Фахові уміння – це уміння, які проявляються в наявності глибоких і міцних знань з фахових дисциплін, в умінні застосовувати наявні знання в професійній діяльності. Але сьогодні треба зважати на нову складову – фахові уміння студента. Недостатньо лише вивчати та розуміти навчальні дисципліни, щоб бути справжнім фахівцем. Необхідний принципово новий підхід, який би ґрунтувався не лише на засвоєнні студентами певних знань, умінь та навичок, а й формував би в них власне ставлення та розуміння фахових перетворень. Це сприятиме розвитку особистісного досвіду щодо виконання професійних завдань і проблем. Одним із найважливіших напрямів у професійній діяльності майбутнього фахівця повинно стати створення умов для його особистого розвитку, формування його творчої індивідуальності й фахових умінь. Про це йдеться мова в Законах України  «Про освіту»,  «Про вищу освіту», в нормативних документах Міністерства освіти і науки України про організацію навчального процесу у вищих навчальних закладах (ВНЗ). Зазвичай навчальна програма, підручники та навчальні матеріали по предмету представляють знання, вміння та навички у вигляді фактів для запам'ятовування, а не у вигляді структурних пізнавальних елементів та інструментів. Факти звичайно є важливою частиною мислення особистості, проте необхідно підтримувати баланс між передачею знань, розвитком особистості, формуванням творчої індивідуальності. У суспільстві, і вищій школі зокрема, склалися суперечності між: принципово новими  підходами  до підготовки здобувачів вищої освіти і їх неготовності до нових вимог; між фаховими уміннями студента і його ставлення та розуміння фахових перетворень. </w:t>
      </w:r>
    </w:p>
    <w:p w:rsidR="007F35C0" w:rsidRPr="004F59F8" w:rsidRDefault="007F35C0" w:rsidP="00187015">
      <w:pPr>
        <w:spacing w:after="0" w:line="360" w:lineRule="auto"/>
        <w:ind w:firstLine="709"/>
        <w:jc w:val="both"/>
        <w:rPr>
          <w:rFonts w:ascii="Times New Roman" w:hAnsi="Times New Roman"/>
          <w:sz w:val="28"/>
          <w:szCs w:val="28"/>
        </w:rPr>
      </w:pPr>
      <w:r w:rsidRPr="004F59F8">
        <w:rPr>
          <w:rFonts w:ascii="Times New Roman" w:hAnsi="Times New Roman"/>
          <w:b/>
          <w:sz w:val="28"/>
          <w:szCs w:val="28"/>
          <w:lang w:val="uk-UA"/>
        </w:rPr>
        <w:t>Аналіз останніх досліджень за темою</w:t>
      </w:r>
      <w:r w:rsidRPr="004F59F8">
        <w:rPr>
          <w:rFonts w:ascii="Times New Roman" w:hAnsi="Times New Roman"/>
          <w:sz w:val="28"/>
          <w:szCs w:val="28"/>
          <w:lang w:val="uk-UA"/>
        </w:rPr>
        <w:t>.</w:t>
      </w:r>
      <w:r w:rsidRPr="004F59F8">
        <w:rPr>
          <w:rFonts w:ascii="Times New Roman" w:hAnsi="Times New Roman"/>
          <w:sz w:val="28"/>
          <w:szCs w:val="28"/>
        </w:rPr>
        <w:t xml:space="preserve"> Суспільство зазнає значних змін і перетворюється на інформаційне, такі зміни вимагають від сучасного спеціаліста внутрішніх перетворень і сформованості фахових умінь. На підтвердження цього дослідники В.Данільян та О.Фрідланд відзначають, фахівець повинен володіти фаховими уміннями як одним із компонентів інформаційного суспільства. </w:t>
      </w:r>
    </w:p>
    <w:p w:rsidR="007F35C0" w:rsidRPr="004F59F8" w:rsidRDefault="007F35C0" w:rsidP="00187015">
      <w:pPr>
        <w:spacing w:after="0" w:line="360" w:lineRule="auto"/>
        <w:ind w:firstLine="851"/>
        <w:jc w:val="both"/>
        <w:rPr>
          <w:rFonts w:ascii="Times New Roman" w:hAnsi="Times New Roman"/>
          <w:sz w:val="28"/>
          <w:szCs w:val="28"/>
          <w:lang w:val="uk-UA"/>
        </w:rPr>
      </w:pPr>
      <w:r w:rsidRPr="004F59F8">
        <w:rPr>
          <w:rFonts w:ascii="Times New Roman" w:hAnsi="Times New Roman"/>
          <w:b/>
          <w:sz w:val="28"/>
          <w:szCs w:val="28"/>
          <w:lang w:val="uk-UA"/>
        </w:rPr>
        <w:t>Мета статті: в</w:t>
      </w:r>
      <w:r w:rsidRPr="004F59F8">
        <w:rPr>
          <w:rFonts w:ascii="Times New Roman" w:hAnsi="Times New Roman"/>
          <w:sz w:val="28"/>
          <w:szCs w:val="28"/>
          <w:lang w:val="uk-UA"/>
        </w:rPr>
        <w:t>ивчення сутності мотивації студентів як однією з п</w:t>
      </w:r>
      <w:r w:rsidRPr="004F59F8">
        <w:rPr>
          <w:rFonts w:ascii="Times New Roman" w:hAnsi="Times New Roman"/>
          <w:color w:val="000000"/>
          <w:sz w:val="28"/>
          <w:szCs w:val="28"/>
          <w:lang w:val="uk-UA"/>
        </w:rPr>
        <w:t xml:space="preserve">едагогічних </w:t>
      </w:r>
      <w:r w:rsidRPr="004F59F8">
        <w:rPr>
          <w:rFonts w:ascii="Times New Roman" w:hAnsi="Times New Roman"/>
          <w:sz w:val="28"/>
          <w:szCs w:val="28"/>
          <w:lang w:val="uk-UA"/>
        </w:rPr>
        <w:t xml:space="preserve">умов  </w:t>
      </w:r>
      <w:r w:rsidRPr="004F59F8">
        <w:rPr>
          <w:rFonts w:ascii="Times New Roman" w:hAnsi="Times New Roman"/>
          <w:color w:val="000000"/>
          <w:sz w:val="28"/>
          <w:szCs w:val="28"/>
          <w:lang w:val="uk-UA"/>
        </w:rPr>
        <w:t>розвитку фахових умінь студентів.</w:t>
      </w:r>
    </w:p>
    <w:p w:rsidR="007F35C0" w:rsidRPr="004F59F8" w:rsidRDefault="007F35C0" w:rsidP="00187015">
      <w:pPr>
        <w:spacing w:after="0" w:line="360" w:lineRule="auto"/>
        <w:ind w:firstLine="851"/>
        <w:jc w:val="both"/>
        <w:rPr>
          <w:rFonts w:ascii="Times New Roman" w:hAnsi="Times New Roman"/>
          <w:sz w:val="28"/>
          <w:szCs w:val="28"/>
          <w:lang w:val="uk-UA"/>
        </w:rPr>
      </w:pPr>
      <w:r w:rsidRPr="004F59F8">
        <w:rPr>
          <w:rFonts w:ascii="Times New Roman" w:hAnsi="Times New Roman"/>
          <w:b/>
          <w:sz w:val="28"/>
          <w:szCs w:val="28"/>
          <w:lang w:val="uk-UA"/>
        </w:rPr>
        <w:t>Аналіз останніх досліджень</w:t>
      </w:r>
      <w:r w:rsidRPr="004F59F8">
        <w:rPr>
          <w:rFonts w:ascii="Times New Roman" w:hAnsi="Times New Roman"/>
          <w:sz w:val="28"/>
          <w:szCs w:val="28"/>
          <w:lang w:val="uk-UA"/>
        </w:rPr>
        <w:t>. У сучасних дослідженнях знаходимо, що мотивація включає всі види спонукань, а саме: потреби, інтереси, мотиви, цілі, схильності, налаштування тощо, тобто мотивація – це опосередкована процесом її віддзеркалення суб'єктивна детермінація поведінки людини. За визначенням Н. Лисовець, мотивацію складають дві групи явищ: сукупність мотивів або чинників як індивідуальна система мотивів; динамічна освіта, процес, механізм, тобто система дій з активізації мотивів певної людини [4].</w:t>
      </w:r>
    </w:p>
    <w:p w:rsidR="007F35C0" w:rsidRPr="004F59F8" w:rsidRDefault="007F35C0" w:rsidP="00E53714">
      <w:pPr>
        <w:spacing w:after="0" w:line="360" w:lineRule="auto"/>
        <w:ind w:firstLine="851"/>
        <w:jc w:val="both"/>
        <w:rPr>
          <w:rFonts w:ascii="Times New Roman" w:hAnsi="Times New Roman"/>
          <w:sz w:val="28"/>
          <w:szCs w:val="28"/>
        </w:rPr>
      </w:pPr>
      <w:r w:rsidRPr="004F59F8">
        <w:rPr>
          <w:rFonts w:ascii="Times New Roman" w:hAnsi="Times New Roman"/>
          <w:sz w:val="28"/>
          <w:szCs w:val="28"/>
          <w:lang w:val="uk-UA"/>
        </w:rPr>
        <w:t>Слід наголосити, що авторка підкреслює значущість позитивних мотиваційних орієнтацій в успішності студентів. Найбіль</w:t>
      </w:r>
      <w:r w:rsidRPr="004F59F8">
        <w:rPr>
          <w:rFonts w:ascii="Times New Roman" w:hAnsi="Times New Roman"/>
          <w:sz w:val="28"/>
          <w:szCs w:val="28"/>
        </w:rPr>
        <w:t>ше пов'язаними з успішністю виявилися орієнтації на процес і на результат, меншою мірою – орієнтація на «оцінку викладача». Зв'язок орієнтації на «уникнення неприємностей» з успішністю – незначний</w:t>
      </w:r>
      <w:r w:rsidRPr="004F59F8">
        <w:rPr>
          <w:rFonts w:ascii="Times New Roman" w:hAnsi="Times New Roman"/>
          <w:sz w:val="28"/>
          <w:szCs w:val="28"/>
          <w:lang w:val="uk-UA"/>
        </w:rPr>
        <w:t xml:space="preserve"> [4]</w:t>
      </w:r>
      <w:r w:rsidRPr="004F59F8">
        <w:rPr>
          <w:rFonts w:ascii="Times New Roman" w:hAnsi="Times New Roman"/>
          <w:sz w:val="28"/>
          <w:szCs w:val="28"/>
        </w:rPr>
        <w:t>.</w:t>
      </w:r>
    </w:p>
    <w:p w:rsidR="007F35C0" w:rsidRPr="004F59F8" w:rsidRDefault="007F35C0" w:rsidP="00B064FE">
      <w:pPr>
        <w:spacing w:after="0" w:line="360" w:lineRule="auto"/>
        <w:ind w:firstLine="709"/>
        <w:jc w:val="both"/>
        <w:rPr>
          <w:rFonts w:ascii="Times New Roman" w:hAnsi="Times New Roman"/>
          <w:sz w:val="28"/>
          <w:szCs w:val="28"/>
        </w:rPr>
      </w:pPr>
      <w:r w:rsidRPr="004F59F8">
        <w:rPr>
          <w:rFonts w:ascii="Times New Roman" w:hAnsi="Times New Roman"/>
          <w:sz w:val="28"/>
          <w:szCs w:val="28"/>
        </w:rPr>
        <w:t xml:space="preserve">Надзвичайно приваблює в роздумах </w:t>
      </w:r>
      <w:r w:rsidRPr="004F59F8">
        <w:rPr>
          <w:rFonts w:ascii="Times New Roman" w:hAnsi="Times New Roman"/>
          <w:sz w:val="28"/>
          <w:szCs w:val="28"/>
          <w:lang w:val="uk-UA"/>
        </w:rPr>
        <w:t>Лисовець Н.М. думка про те, що п</w:t>
      </w:r>
      <w:r w:rsidRPr="004F59F8">
        <w:rPr>
          <w:rFonts w:ascii="Times New Roman" w:hAnsi="Times New Roman"/>
          <w:sz w:val="28"/>
          <w:szCs w:val="28"/>
        </w:rPr>
        <w:t>рофесійна мотивація як властивість особистості є системою цілей, потреб, що спонукають студента до активного засвоєння знань, оволодіння вміннями і навичками, свідомого ставлення до професії. Професійна мотивація відіграє роль компенсаторного фактора: в умовах недостатньо розвинених здібностей студент, за наявності професійної мотивації, може досягти більших успіхів, ніж здібний студент, у якого не сформована професійна мотивація. Тому цілеспрямоване формування у студентів професійної мотивації є одним із першочергових завдань вищої школи</w:t>
      </w:r>
      <w:r w:rsidRPr="004F59F8">
        <w:rPr>
          <w:rFonts w:ascii="Times New Roman" w:hAnsi="Times New Roman"/>
          <w:sz w:val="28"/>
          <w:szCs w:val="28"/>
          <w:lang w:val="uk-UA"/>
        </w:rPr>
        <w:t xml:space="preserve"> [4]</w:t>
      </w:r>
      <w:r w:rsidRPr="004F59F8">
        <w:rPr>
          <w:rFonts w:ascii="Times New Roman" w:hAnsi="Times New Roman"/>
          <w:sz w:val="28"/>
          <w:szCs w:val="28"/>
        </w:rPr>
        <w:t>.</w:t>
      </w:r>
    </w:p>
    <w:p w:rsidR="007F35C0" w:rsidRPr="004F59F8" w:rsidRDefault="007F35C0" w:rsidP="00EA7200">
      <w:pPr>
        <w:spacing w:after="0" w:line="360" w:lineRule="auto"/>
        <w:ind w:firstLine="709"/>
        <w:jc w:val="both"/>
        <w:rPr>
          <w:rFonts w:ascii="Times New Roman" w:hAnsi="Times New Roman"/>
          <w:sz w:val="28"/>
          <w:szCs w:val="28"/>
        </w:rPr>
      </w:pPr>
      <w:r w:rsidRPr="004F59F8">
        <w:rPr>
          <w:rFonts w:ascii="Times New Roman" w:hAnsi="Times New Roman"/>
          <w:sz w:val="28"/>
          <w:szCs w:val="28"/>
        </w:rPr>
        <w:t xml:space="preserve">Як зазначають автори </w:t>
      </w:r>
      <w:r w:rsidRPr="004F59F8">
        <w:rPr>
          <w:rFonts w:ascii="Times New Roman" w:hAnsi="Times New Roman"/>
          <w:sz w:val="28"/>
          <w:szCs w:val="28"/>
          <w:lang w:val="uk-UA"/>
        </w:rPr>
        <w:t xml:space="preserve"> </w:t>
      </w:r>
      <w:r w:rsidRPr="004F59F8">
        <w:rPr>
          <w:rFonts w:ascii="Times New Roman" w:hAnsi="Times New Roman"/>
          <w:sz w:val="28"/>
          <w:szCs w:val="28"/>
        </w:rPr>
        <w:t>С.Єрохін, Ю.Нікітін та І.Нікітіна</w:t>
      </w:r>
      <w:r>
        <w:rPr>
          <w:rFonts w:ascii="Times New Roman" w:hAnsi="Times New Roman"/>
          <w:sz w:val="28"/>
          <w:szCs w:val="28"/>
          <w:lang w:val="uk-UA"/>
        </w:rPr>
        <w:t xml:space="preserve"> (2011)</w:t>
      </w:r>
      <w:r w:rsidRPr="004F59F8">
        <w:rPr>
          <w:rFonts w:ascii="Times New Roman" w:hAnsi="Times New Roman"/>
          <w:sz w:val="28"/>
          <w:szCs w:val="28"/>
        </w:rPr>
        <w:t>, структурними компонентами професійної мотивації є мотивація ініціації (спонукає до діяльності); мотивація селекції (сприяє вибору мети); мотивація реалізації (забезпечує регулювання, контроль реалізації виконання відповідної дії); мотивація постреалізації (уможливлює завершення виконання дії і спонукання до іншої) [</w:t>
      </w:r>
      <w:r w:rsidRPr="004F59F8">
        <w:rPr>
          <w:rFonts w:ascii="Times New Roman" w:hAnsi="Times New Roman"/>
          <w:sz w:val="28"/>
          <w:szCs w:val="28"/>
          <w:lang w:val="uk-UA"/>
        </w:rPr>
        <w:t>3</w:t>
      </w:r>
      <w:r w:rsidRPr="004F59F8">
        <w:rPr>
          <w:rFonts w:ascii="Times New Roman" w:hAnsi="Times New Roman"/>
          <w:sz w:val="28"/>
          <w:szCs w:val="28"/>
        </w:rPr>
        <w:t>].</w:t>
      </w:r>
    </w:p>
    <w:p w:rsidR="007F35C0" w:rsidRPr="004F59F8" w:rsidRDefault="007F35C0" w:rsidP="00BE6ED9">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 xml:space="preserve">Сучасні педагоги стверджують, що для забезпечення стійкої професійної мотивації студентів-фахівців як соціопсихологічні умови визначено формування (і підтримування) прагнень студентів виявити свої можливості та ствердити себе у навчально-професійній діяльності. З цією метою можна застосувати </w:t>
      </w:r>
      <w:r>
        <w:rPr>
          <w:rFonts w:ascii="Times New Roman" w:hAnsi="Times New Roman"/>
          <w:sz w:val="28"/>
          <w:szCs w:val="28"/>
          <w:lang w:val="uk-UA"/>
        </w:rPr>
        <w:t>наступне</w:t>
      </w:r>
      <w:r w:rsidRPr="004F59F8">
        <w:rPr>
          <w:rFonts w:ascii="Times New Roman" w:hAnsi="Times New Roman"/>
          <w:sz w:val="28"/>
          <w:szCs w:val="28"/>
          <w:lang w:val="uk-UA"/>
        </w:rPr>
        <w:t>: детальне ознайомлення з майбутньою професійною діяльністю та її суспільною значущістю, із сучасними вимогами, передбаченими до знань, умінь і якостей особистості фахівця; створення уявлень про модель особистості успішного професіонала з обраного фаху, усвідомлення ближніх і перспективних цілей професійного навчання; розвиток позитивної «Я-концепції» та адекватної професійної самооцінки студента; формування ціннісних орієнтацій; вироблення у студентів потреб і вмінь самостійно працювати з різними джерелами інформації, оволодівати інформаційними технологіями і творчо застосовувати знання на практиці; забезпечення умов для самопізнання, самовиховання, самовдосконалення; підтримання допитливості й “пізнавального” психологічного клімату в студентській академічній групі [3].</w:t>
      </w:r>
    </w:p>
    <w:p w:rsidR="007F35C0" w:rsidRPr="004F59F8" w:rsidRDefault="007F35C0" w:rsidP="00BE6ED9">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 xml:space="preserve">О. Бандурка </w:t>
      </w:r>
      <w:r>
        <w:rPr>
          <w:rFonts w:ascii="Times New Roman" w:hAnsi="Times New Roman"/>
          <w:sz w:val="28"/>
          <w:szCs w:val="28"/>
          <w:lang w:val="uk-UA"/>
        </w:rPr>
        <w:t>(2011),</w:t>
      </w:r>
      <w:r w:rsidRPr="004F59F8">
        <w:rPr>
          <w:rFonts w:ascii="Times New Roman" w:hAnsi="Times New Roman"/>
          <w:sz w:val="28"/>
          <w:szCs w:val="28"/>
          <w:lang w:val="uk-UA"/>
        </w:rPr>
        <w:t xml:space="preserve"> аналіз</w:t>
      </w:r>
      <w:r>
        <w:rPr>
          <w:rFonts w:ascii="Times New Roman" w:hAnsi="Times New Roman"/>
          <w:sz w:val="28"/>
          <w:szCs w:val="28"/>
          <w:lang w:val="uk-UA"/>
        </w:rPr>
        <w:t>уючи</w:t>
      </w:r>
      <w:r w:rsidRPr="004F59F8">
        <w:rPr>
          <w:rFonts w:ascii="Times New Roman" w:hAnsi="Times New Roman"/>
          <w:sz w:val="28"/>
          <w:szCs w:val="28"/>
          <w:lang w:val="uk-UA"/>
        </w:rPr>
        <w:t xml:space="preserve"> процес</w:t>
      </w:r>
      <w:r>
        <w:rPr>
          <w:rFonts w:ascii="Times New Roman" w:hAnsi="Times New Roman"/>
          <w:sz w:val="28"/>
          <w:szCs w:val="28"/>
          <w:lang w:val="uk-UA"/>
        </w:rPr>
        <w:t xml:space="preserve"> реформування вищої школи, </w:t>
      </w:r>
      <w:r w:rsidRPr="004F59F8">
        <w:rPr>
          <w:rFonts w:ascii="Times New Roman" w:hAnsi="Times New Roman"/>
          <w:sz w:val="28"/>
          <w:szCs w:val="28"/>
          <w:lang w:val="uk-UA"/>
        </w:rPr>
        <w:t>визначає проблему доцільності досягнення високого рівня підготовки спеціаліста (на основі зусиль викладачів, студента, його батьків), оскільки в подальшому виникають утруднення із  працевлаштуванням молодого спеціаліста, його закріпленням на виробництві, в інших сферах діяльності, забезпеченням його соціальних і правових гарантій, які нині держава фактично не реалізує, попри декларування цього в законах [1].</w:t>
      </w:r>
    </w:p>
    <w:p w:rsidR="007F35C0" w:rsidRPr="004F59F8" w:rsidRDefault="007F35C0" w:rsidP="00BE6ED9">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 xml:space="preserve">При всьому тому слід зазначити, що науковець наголошує, щоб університетське навчання забезпечувалося трьома компонентами: наявністю студента, слухача, курсанта; наявністю науково-педагогічного складу; належною матеріально-технічною базою. </w:t>
      </w:r>
      <w:r w:rsidRPr="004F59F8">
        <w:rPr>
          <w:rFonts w:ascii="Times New Roman" w:hAnsi="Times New Roman"/>
          <w:sz w:val="28"/>
          <w:szCs w:val="28"/>
        </w:rPr>
        <w:t>Окрім цього, необхідно враховувати четверту складову – бажання студента навчатися, його мотивацією до навчання. Часто такої мотивації немає, оскільки сучасний студент не бачить перспектив використання здобутих знань, тобто можливості роботи за спеціальністю в гідних умовах за достойну платню</w:t>
      </w:r>
      <w:r w:rsidRPr="004F59F8">
        <w:rPr>
          <w:rFonts w:ascii="Times New Roman" w:hAnsi="Times New Roman"/>
          <w:sz w:val="28"/>
          <w:szCs w:val="28"/>
          <w:lang w:val="uk-UA"/>
        </w:rPr>
        <w:t xml:space="preserve"> [1].</w:t>
      </w:r>
    </w:p>
    <w:p w:rsidR="007F35C0" w:rsidRPr="004F59F8" w:rsidRDefault="007F35C0" w:rsidP="00FC0070">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 xml:space="preserve">Дослідники М. Вієвська і Л. Красовська </w:t>
      </w:r>
      <w:r>
        <w:rPr>
          <w:rFonts w:ascii="Times New Roman" w:hAnsi="Times New Roman"/>
          <w:sz w:val="28"/>
          <w:szCs w:val="28"/>
          <w:lang w:val="uk-UA"/>
        </w:rPr>
        <w:t xml:space="preserve">(2011) </w:t>
      </w:r>
      <w:r w:rsidRPr="004F59F8">
        <w:rPr>
          <w:rFonts w:ascii="Times New Roman" w:hAnsi="Times New Roman"/>
          <w:sz w:val="28"/>
          <w:szCs w:val="28"/>
          <w:lang w:val="uk-UA"/>
        </w:rPr>
        <w:t>визначають підвищення якості підготовки фахівця, формування у нього мотивації до безперервної професійної освіти як фактори забезпечення конкурентноспроможності країни на світовому рівні [2].</w:t>
      </w:r>
    </w:p>
    <w:p w:rsidR="007F35C0" w:rsidRPr="003759DF" w:rsidRDefault="007F35C0" w:rsidP="00A902A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4F59F8">
        <w:rPr>
          <w:rFonts w:ascii="Times New Roman" w:hAnsi="Times New Roman"/>
          <w:sz w:val="28"/>
          <w:szCs w:val="28"/>
          <w:lang w:val="uk-UA"/>
        </w:rPr>
        <w:t xml:space="preserve">роцес є складним і багатоплановим, </w:t>
      </w:r>
      <w:r>
        <w:rPr>
          <w:rFonts w:ascii="Times New Roman" w:hAnsi="Times New Roman"/>
          <w:sz w:val="28"/>
          <w:szCs w:val="28"/>
          <w:lang w:val="uk-UA"/>
        </w:rPr>
        <w:t xml:space="preserve">тож </w:t>
      </w:r>
      <w:r w:rsidRPr="004F59F8">
        <w:rPr>
          <w:rFonts w:ascii="Times New Roman" w:hAnsi="Times New Roman"/>
          <w:sz w:val="28"/>
          <w:szCs w:val="28"/>
          <w:lang w:val="uk-UA"/>
        </w:rPr>
        <w:t xml:space="preserve">проаналізуємо мотиваційну складову професійного саморозвитку та можливостей її діагностування. </w:t>
      </w:r>
      <w:r w:rsidRPr="003759DF">
        <w:rPr>
          <w:rFonts w:ascii="Times New Roman" w:hAnsi="Times New Roman"/>
          <w:color w:val="000000"/>
          <w:sz w:val="28"/>
          <w:szCs w:val="28"/>
          <w:lang w:val="uk-UA"/>
        </w:rPr>
        <w:t>Вієвська, М.</w:t>
      </w:r>
      <w:r>
        <w:rPr>
          <w:rFonts w:ascii="Times New Roman" w:hAnsi="Times New Roman"/>
          <w:color w:val="000000"/>
          <w:sz w:val="28"/>
          <w:szCs w:val="28"/>
          <w:lang w:val="uk-UA"/>
        </w:rPr>
        <w:t xml:space="preserve"> (2011), досліджуючи ф</w:t>
      </w:r>
      <w:r w:rsidRPr="003759DF">
        <w:rPr>
          <w:rFonts w:ascii="Times New Roman" w:hAnsi="Times New Roman"/>
          <w:color w:val="000000"/>
          <w:sz w:val="28"/>
          <w:szCs w:val="28"/>
          <w:lang w:val="uk-UA"/>
        </w:rPr>
        <w:t>ормування мотивації фахівця до безперервної професійної освіти</w:t>
      </w:r>
      <w:r>
        <w:rPr>
          <w:rFonts w:ascii="Times New Roman" w:hAnsi="Times New Roman"/>
          <w:color w:val="000000"/>
          <w:sz w:val="28"/>
          <w:szCs w:val="28"/>
          <w:lang w:val="uk-UA"/>
        </w:rPr>
        <w:t>, пропонує</w:t>
      </w:r>
      <w:r w:rsidRPr="003759DF">
        <w:rPr>
          <w:rFonts w:ascii="Times New Roman" w:hAnsi="Times New Roman"/>
          <w:sz w:val="28"/>
          <w:szCs w:val="28"/>
          <w:lang w:val="uk-UA"/>
        </w:rPr>
        <w:t xml:space="preserve"> </w:t>
      </w:r>
      <w:r>
        <w:rPr>
          <w:rFonts w:ascii="Times New Roman" w:hAnsi="Times New Roman"/>
          <w:sz w:val="28"/>
          <w:szCs w:val="28"/>
          <w:lang w:val="uk-UA"/>
        </w:rPr>
        <w:t xml:space="preserve">наступні </w:t>
      </w:r>
      <w:r w:rsidRPr="003759DF">
        <w:rPr>
          <w:rFonts w:ascii="Times New Roman" w:hAnsi="Times New Roman"/>
          <w:sz w:val="28"/>
          <w:szCs w:val="28"/>
          <w:lang w:val="uk-UA"/>
        </w:rPr>
        <w:t xml:space="preserve"> позиці</w:t>
      </w:r>
      <w:r>
        <w:rPr>
          <w:rFonts w:ascii="Times New Roman" w:hAnsi="Times New Roman"/>
          <w:sz w:val="28"/>
          <w:szCs w:val="28"/>
          <w:lang w:val="uk-UA"/>
        </w:rPr>
        <w:t>ї</w:t>
      </w:r>
      <w:r w:rsidRPr="003759DF">
        <w:rPr>
          <w:rFonts w:ascii="Times New Roman" w:hAnsi="Times New Roman"/>
          <w:sz w:val="28"/>
          <w:szCs w:val="28"/>
          <w:lang w:val="uk-UA"/>
        </w:rPr>
        <w:t>:</w:t>
      </w:r>
    </w:p>
    <w:p w:rsidR="007F35C0" w:rsidRPr="004F59F8" w:rsidRDefault="007F35C0" w:rsidP="00E53714">
      <w:pPr>
        <w:spacing w:after="0" w:line="360" w:lineRule="auto"/>
        <w:jc w:val="both"/>
        <w:rPr>
          <w:rFonts w:ascii="Times New Roman" w:hAnsi="Times New Roman"/>
          <w:sz w:val="28"/>
          <w:szCs w:val="28"/>
          <w:lang w:val="uk-UA"/>
        </w:rPr>
      </w:pPr>
      <w:r w:rsidRPr="004F59F8">
        <w:rPr>
          <w:rFonts w:ascii="Times New Roman" w:hAnsi="Times New Roman"/>
          <w:sz w:val="28"/>
          <w:szCs w:val="28"/>
        </w:rPr>
        <w:t>− потреба в саморозвитку визначається як ставлення індивіда до себе, за якого формується готовність до переорієнтації власної життєдіяльності до пошуку можливостей максимальної професійної самореалізації</w:t>
      </w:r>
      <w:r w:rsidRPr="004F59F8">
        <w:rPr>
          <w:rFonts w:ascii="Times New Roman" w:hAnsi="Times New Roman"/>
          <w:sz w:val="28"/>
          <w:szCs w:val="28"/>
          <w:lang w:val="uk-UA"/>
        </w:rPr>
        <w:t>;</w:t>
      </w:r>
    </w:p>
    <w:p w:rsidR="007F35C0" w:rsidRPr="004F59F8" w:rsidRDefault="007F35C0" w:rsidP="00E53714">
      <w:pPr>
        <w:spacing w:after="0" w:line="360" w:lineRule="auto"/>
        <w:jc w:val="both"/>
        <w:rPr>
          <w:rFonts w:ascii="Times New Roman" w:hAnsi="Times New Roman"/>
          <w:sz w:val="28"/>
          <w:szCs w:val="28"/>
          <w:lang w:val="uk-UA"/>
        </w:rPr>
      </w:pPr>
      <w:r w:rsidRPr="004F59F8">
        <w:rPr>
          <w:rFonts w:ascii="Times New Roman" w:hAnsi="Times New Roman"/>
          <w:sz w:val="28"/>
          <w:szCs w:val="28"/>
          <w:lang w:val="uk-UA"/>
        </w:rPr>
        <w:t>− процес професійного саморозвитку потребує дослідження механізмів його мотиваційного забезпечення, починаючи від етапу навчально-професійної підготовки;</w:t>
      </w:r>
    </w:p>
    <w:p w:rsidR="007F35C0" w:rsidRPr="004F59F8" w:rsidRDefault="007F35C0" w:rsidP="00E53714">
      <w:pPr>
        <w:spacing w:after="0" w:line="360" w:lineRule="auto"/>
        <w:jc w:val="both"/>
        <w:rPr>
          <w:rFonts w:ascii="Times New Roman" w:hAnsi="Times New Roman"/>
          <w:sz w:val="28"/>
          <w:szCs w:val="28"/>
          <w:lang w:val="uk-UA"/>
        </w:rPr>
      </w:pPr>
      <w:r w:rsidRPr="004F59F8">
        <w:rPr>
          <w:rFonts w:ascii="Times New Roman" w:hAnsi="Times New Roman"/>
          <w:sz w:val="28"/>
          <w:szCs w:val="28"/>
          <w:lang w:val="uk-UA"/>
        </w:rPr>
        <w:t>− формування стійкої мотивації саморозвитку фахівця забезпечує його зорієнтованість на необхідність постійного самовдосконалення у процесі безперервної професійної освіти;</w:t>
      </w:r>
    </w:p>
    <w:p w:rsidR="007F35C0" w:rsidRPr="004F59F8" w:rsidRDefault="007F35C0" w:rsidP="00E53714">
      <w:pPr>
        <w:spacing w:after="0" w:line="360" w:lineRule="auto"/>
        <w:jc w:val="both"/>
        <w:rPr>
          <w:rFonts w:ascii="Times New Roman" w:hAnsi="Times New Roman"/>
          <w:sz w:val="28"/>
          <w:szCs w:val="28"/>
          <w:lang w:val="uk-UA"/>
        </w:rPr>
      </w:pPr>
      <w:r w:rsidRPr="004F59F8">
        <w:rPr>
          <w:rFonts w:ascii="Times New Roman" w:hAnsi="Times New Roman"/>
          <w:sz w:val="28"/>
          <w:szCs w:val="28"/>
          <w:lang w:val="uk-UA"/>
        </w:rPr>
        <w:t xml:space="preserve">− професійний саморозвиток пов’язаний із внутрішнім поєднанням структурних складових психіки особистості, спрямованих на її конструктивну взаємодію з навколишнім середовищем на основі  отримання результату професійної діяльності [2]. </w:t>
      </w:r>
    </w:p>
    <w:p w:rsidR="007F35C0" w:rsidRPr="004F59F8" w:rsidRDefault="007F35C0" w:rsidP="00A902A4">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 xml:space="preserve">Представляє інтерес точка зору О. Пінської </w:t>
      </w:r>
      <w:r>
        <w:rPr>
          <w:rFonts w:ascii="Times New Roman" w:hAnsi="Times New Roman"/>
          <w:sz w:val="28"/>
          <w:szCs w:val="28"/>
          <w:lang w:val="uk-UA"/>
        </w:rPr>
        <w:t xml:space="preserve">(2009) </w:t>
      </w:r>
      <w:r w:rsidRPr="004F59F8">
        <w:rPr>
          <w:rFonts w:ascii="Times New Roman" w:hAnsi="Times New Roman"/>
          <w:sz w:val="28"/>
          <w:szCs w:val="28"/>
          <w:lang w:val="uk-UA"/>
        </w:rPr>
        <w:t>що</w:t>
      </w:r>
      <w:r>
        <w:rPr>
          <w:rFonts w:ascii="Times New Roman" w:hAnsi="Times New Roman"/>
          <w:sz w:val="28"/>
          <w:szCs w:val="28"/>
          <w:lang w:val="uk-UA"/>
        </w:rPr>
        <w:t>до</w:t>
      </w:r>
      <w:r w:rsidRPr="004F59F8">
        <w:rPr>
          <w:rFonts w:ascii="Times New Roman" w:hAnsi="Times New Roman"/>
          <w:sz w:val="28"/>
          <w:szCs w:val="28"/>
          <w:lang w:val="uk-UA"/>
        </w:rPr>
        <w:t xml:space="preserve"> механізм</w:t>
      </w:r>
      <w:r>
        <w:rPr>
          <w:rFonts w:ascii="Times New Roman" w:hAnsi="Times New Roman"/>
          <w:sz w:val="28"/>
          <w:szCs w:val="28"/>
          <w:lang w:val="uk-UA"/>
        </w:rPr>
        <w:t>у</w:t>
      </w:r>
      <w:r w:rsidRPr="004F59F8">
        <w:rPr>
          <w:rFonts w:ascii="Times New Roman" w:hAnsi="Times New Roman"/>
          <w:sz w:val="28"/>
          <w:szCs w:val="28"/>
          <w:lang w:val="uk-UA"/>
        </w:rPr>
        <w:t xml:space="preserve"> мотивації професійного саморозвитку особистості під час підготовки у ВНЗ,  уможливлює розроблення необхідних процедур керування навчально-професійною діяльністю. Спрямувальним компонентом мотивації є цілеспрямований мотиваційний вплив. Він концентрує силу і, водночас, виваженість позиції викладача в системі педагогічної взаємодії. Її процес включає, по суті, низку ситуацій, у межах яких і відбувається мотиваційний вплив як інструмент мотиваційного забезпечення професійного саморозвитку людини в навчально-професійній діяльності [5].</w:t>
      </w:r>
    </w:p>
    <w:p w:rsidR="007F35C0" w:rsidRPr="004F59F8" w:rsidRDefault="007F35C0" w:rsidP="00A902A4">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Необхідно наголосити на тому, що одним зі способів формування професійної спрямованості студентів є розширення їхнього досвіду фахової діяльності, якого вони набувають у процесі фахової практики. У цей період відбувається вдосконалення і коригування сформованих у процесі вивчення фахових дисциплін знань і навичок. Практика – це можливість виявити наявність (чи відсутність) інтересу до обраної професії, життєвих налаштувань, пов’язаних із цією професією, ступеня готовності до здійснення професійної діяльності [5].</w:t>
      </w:r>
    </w:p>
    <w:p w:rsidR="007F35C0" w:rsidRPr="004F59F8" w:rsidRDefault="007F35C0" w:rsidP="005B76FE">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 xml:space="preserve">Питання мотивації нас цікавить з точки зору фахових умінь студентів. </w:t>
      </w:r>
      <w:r>
        <w:rPr>
          <w:rFonts w:ascii="Times New Roman" w:hAnsi="Times New Roman"/>
          <w:sz w:val="28"/>
          <w:szCs w:val="28"/>
          <w:lang w:val="uk-UA"/>
        </w:rPr>
        <w:t xml:space="preserve">Під час констатувального етапу педагогічного експерименту </w:t>
      </w:r>
      <w:r w:rsidRPr="004F59F8">
        <w:rPr>
          <w:rFonts w:ascii="Times New Roman" w:hAnsi="Times New Roman"/>
          <w:sz w:val="28"/>
          <w:szCs w:val="28"/>
          <w:lang w:val="uk-UA"/>
        </w:rPr>
        <w:t xml:space="preserve">ми провели дослідження </w:t>
      </w:r>
      <w:r>
        <w:rPr>
          <w:rFonts w:ascii="Times New Roman" w:hAnsi="Times New Roman"/>
          <w:sz w:val="28"/>
          <w:szCs w:val="28"/>
          <w:lang w:val="uk-UA"/>
        </w:rPr>
        <w:t xml:space="preserve">щодо </w:t>
      </w:r>
      <w:r w:rsidRPr="004F59F8">
        <w:rPr>
          <w:rFonts w:ascii="Times New Roman" w:hAnsi="Times New Roman"/>
          <w:sz w:val="28"/>
          <w:szCs w:val="28"/>
          <w:lang w:val="uk-UA"/>
        </w:rPr>
        <w:t>виявлення спрямованості навчальної мотивації у студентів («Методика діагностики спрямованості навчальної мотивації»</w:t>
      </w:r>
      <w:r>
        <w:rPr>
          <w:rFonts w:ascii="Times New Roman" w:hAnsi="Times New Roman"/>
          <w:sz w:val="28"/>
          <w:szCs w:val="28"/>
          <w:lang w:val="uk-UA"/>
        </w:rPr>
        <w:t xml:space="preserve">, </w:t>
      </w:r>
      <w:r w:rsidRPr="004F59F8">
        <w:rPr>
          <w:rFonts w:ascii="Times New Roman" w:hAnsi="Times New Roman"/>
          <w:sz w:val="28"/>
          <w:szCs w:val="28"/>
          <w:lang w:val="uk-UA"/>
        </w:rPr>
        <w:t xml:space="preserve">автор </w:t>
      </w:r>
      <w:r>
        <w:rPr>
          <w:rFonts w:ascii="Times New Roman" w:hAnsi="Times New Roman"/>
          <w:sz w:val="28"/>
          <w:szCs w:val="28"/>
          <w:lang w:val="uk-UA"/>
        </w:rPr>
        <w:t xml:space="preserve">                     </w:t>
      </w:r>
      <w:r w:rsidRPr="004F59F8">
        <w:rPr>
          <w:rFonts w:ascii="Times New Roman" w:hAnsi="Times New Roman"/>
          <w:sz w:val="28"/>
          <w:szCs w:val="28"/>
          <w:lang w:val="uk-UA"/>
        </w:rPr>
        <w:t>Т. Дубовицька).</w:t>
      </w:r>
      <w:r>
        <w:rPr>
          <w:rFonts w:ascii="Times New Roman" w:hAnsi="Times New Roman"/>
          <w:sz w:val="28"/>
          <w:szCs w:val="28"/>
          <w:lang w:val="uk-UA"/>
        </w:rPr>
        <w:t xml:space="preserve"> З’ясували</w:t>
      </w:r>
      <w:r w:rsidRPr="004F59F8">
        <w:rPr>
          <w:rFonts w:ascii="Times New Roman" w:hAnsi="Times New Roman"/>
          <w:sz w:val="28"/>
          <w:szCs w:val="28"/>
          <w:lang w:val="uk-UA"/>
        </w:rPr>
        <w:t>,</w:t>
      </w:r>
      <w:r>
        <w:rPr>
          <w:rFonts w:ascii="Times New Roman" w:hAnsi="Times New Roman"/>
          <w:sz w:val="28"/>
          <w:szCs w:val="28"/>
          <w:lang w:val="uk-UA"/>
        </w:rPr>
        <w:t xml:space="preserve"> що</w:t>
      </w:r>
      <w:r w:rsidRPr="004F59F8">
        <w:rPr>
          <w:rFonts w:ascii="Times New Roman" w:hAnsi="Times New Roman"/>
          <w:sz w:val="28"/>
          <w:szCs w:val="28"/>
          <w:lang w:val="uk-UA"/>
        </w:rPr>
        <w:t xml:space="preserve"> у групі студентів переважає низький рівень мотивації до навчання. Вони не хочуть вчитися, підвищувати свою мотивацію, аналізувати, намагатися роздумувати, мати свою думку. Але </w:t>
      </w:r>
      <w:r>
        <w:rPr>
          <w:rFonts w:ascii="Times New Roman" w:hAnsi="Times New Roman"/>
          <w:sz w:val="28"/>
          <w:szCs w:val="28"/>
          <w:lang w:val="uk-UA"/>
        </w:rPr>
        <w:t>окремі</w:t>
      </w:r>
      <w:r w:rsidRPr="004F59F8">
        <w:rPr>
          <w:rFonts w:ascii="Times New Roman" w:hAnsi="Times New Roman"/>
          <w:sz w:val="28"/>
          <w:szCs w:val="28"/>
          <w:lang w:val="uk-UA"/>
        </w:rPr>
        <w:t xml:space="preserve"> студент</w:t>
      </w:r>
      <w:r>
        <w:rPr>
          <w:rFonts w:ascii="Times New Roman" w:hAnsi="Times New Roman"/>
          <w:sz w:val="28"/>
          <w:szCs w:val="28"/>
          <w:lang w:val="uk-UA"/>
        </w:rPr>
        <w:t xml:space="preserve">и </w:t>
      </w:r>
      <w:r w:rsidRPr="004F59F8">
        <w:rPr>
          <w:rFonts w:ascii="Times New Roman" w:hAnsi="Times New Roman"/>
          <w:sz w:val="28"/>
          <w:szCs w:val="28"/>
          <w:lang w:val="uk-UA"/>
        </w:rPr>
        <w:t xml:space="preserve"> добре розуміють, чого вони хочуть, чого прагнуть досягти, вміють аналізувати, критично мислити, мають тягу до знань і </w:t>
      </w:r>
      <w:r>
        <w:rPr>
          <w:rFonts w:ascii="Times New Roman" w:hAnsi="Times New Roman"/>
          <w:sz w:val="28"/>
          <w:szCs w:val="28"/>
          <w:lang w:val="uk-UA"/>
        </w:rPr>
        <w:t>най</w:t>
      </w:r>
      <w:r w:rsidRPr="004F59F8">
        <w:rPr>
          <w:rFonts w:ascii="Times New Roman" w:hAnsi="Times New Roman"/>
          <w:sz w:val="28"/>
          <w:szCs w:val="28"/>
          <w:lang w:val="uk-UA"/>
        </w:rPr>
        <w:t>головн</w:t>
      </w:r>
      <w:r>
        <w:rPr>
          <w:rFonts w:ascii="Times New Roman" w:hAnsi="Times New Roman"/>
          <w:sz w:val="28"/>
          <w:szCs w:val="28"/>
          <w:lang w:val="uk-UA"/>
        </w:rPr>
        <w:t>іше</w:t>
      </w:r>
      <w:r w:rsidRPr="004F59F8">
        <w:rPr>
          <w:rFonts w:ascii="Times New Roman" w:hAnsi="Times New Roman"/>
          <w:sz w:val="28"/>
          <w:szCs w:val="28"/>
          <w:lang w:val="uk-UA"/>
        </w:rPr>
        <w:t>, в них присутня мотивація.</w:t>
      </w:r>
    </w:p>
    <w:p w:rsidR="007F35C0" w:rsidRPr="004F59F8" w:rsidRDefault="007F35C0" w:rsidP="00592812">
      <w:pPr>
        <w:spacing w:after="0" w:line="360" w:lineRule="auto"/>
        <w:ind w:firstLine="709"/>
        <w:jc w:val="both"/>
        <w:rPr>
          <w:rFonts w:ascii="Times New Roman" w:hAnsi="Times New Roman"/>
          <w:sz w:val="28"/>
          <w:szCs w:val="28"/>
        </w:rPr>
      </w:pPr>
      <w:r w:rsidRPr="004F59F8">
        <w:rPr>
          <w:rFonts w:ascii="Times New Roman" w:hAnsi="Times New Roman"/>
          <w:sz w:val="28"/>
          <w:szCs w:val="28"/>
        </w:rPr>
        <w:t xml:space="preserve">З метою уточнення рівнів </w:t>
      </w:r>
      <w:r>
        <w:rPr>
          <w:rFonts w:ascii="Times New Roman" w:hAnsi="Times New Roman"/>
          <w:sz w:val="28"/>
          <w:szCs w:val="28"/>
          <w:lang w:val="uk-UA"/>
        </w:rPr>
        <w:t xml:space="preserve">прояву </w:t>
      </w:r>
      <w:r w:rsidRPr="004F59F8">
        <w:rPr>
          <w:rFonts w:ascii="Times New Roman" w:hAnsi="Times New Roman"/>
          <w:sz w:val="28"/>
          <w:szCs w:val="28"/>
        </w:rPr>
        <w:t xml:space="preserve">наполегливості </w:t>
      </w:r>
      <w:r w:rsidRPr="004F59F8">
        <w:rPr>
          <w:rFonts w:ascii="Times New Roman" w:hAnsi="Times New Roman"/>
          <w:sz w:val="28"/>
          <w:szCs w:val="28"/>
          <w:lang w:val="uk-UA"/>
        </w:rPr>
        <w:t xml:space="preserve">й </w:t>
      </w:r>
      <w:r w:rsidRPr="004F59F8">
        <w:rPr>
          <w:rFonts w:ascii="Times New Roman" w:hAnsi="Times New Roman"/>
          <w:sz w:val="28"/>
          <w:szCs w:val="28"/>
        </w:rPr>
        <w:t xml:space="preserve">активності студентів                      було проведено анкетування «Визначення рівня наполегливості».  Студентам пропонувалося відповісти, чи згодні вони з запропонованими твердженнями. </w:t>
      </w:r>
    </w:p>
    <w:p w:rsidR="007F35C0" w:rsidRPr="004F59F8" w:rsidRDefault="007F35C0" w:rsidP="00A33AF6">
      <w:pPr>
        <w:spacing w:after="0" w:line="360" w:lineRule="auto"/>
        <w:ind w:firstLine="709"/>
        <w:jc w:val="both"/>
        <w:rPr>
          <w:rFonts w:ascii="Times New Roman" w:hAnsi="Times New Roman"/>
          <w:sz w:val="28"/>
          <w:szCs w:val="28"/>
          <w:lang w:val="uk-UA"/>
        </w:rPr>
      </w:pPr>
      <w:r w:rsidRPr="004F59F8">
        <w:rPr>
          <w:rFonts w:ascii="Times New Roman" w:hAnsi="Times New Roman"/>
          <w:sz w:val="28"/>
          <w:szCs w:val="28"/>
          <w:lang w:val="uk-UA"/>
        </w:rPr>
        <w:t>Таблиця 1 Р</w:t>
      </w:r>
      <w:r w:rsidRPr="004F59F8">
        <w:rPr>
          <w:rFonts w:ascii="Times New Roman" w:hAnsi="Times New Roman"/>
          <w:sz w:val="28"/>
          <w:szCs w:val="28"/>
        </w:rPr>
        <w:t>івн</w:t>
      </w:r>
      <w:r w:rsidRPr="004F59F8">
        <w:rPr>
          <w:rFonts w:ascii="Times New Roman" w:hAnsi="Times New Roman"/>
          <w:sz w:val="28"/>
          <w:szCs w:val="28"/>
          <w:lang w:val="uk-UA"/>
        </w:rPr>
        <w:t>і</w:t>
      </w:r>
      <w:r w:rsidRPr="004F59F8">
        <w:rPr>
          <w:rFonts w:ascii="Times New Roman" w:hAnsi="Times New Roman"/>
          <w:sz w:val="28"/>
          <w:szCs w:val="28"/>
        </w:rPr>
        <w:t xml:space="preserve"> наполегливості</w:t>
      </w:r>
      <w:r w:rsidRPr="004F59F8">
        <w:rPr>
          <w:rFonts w:ascii="Times New Roman" w:hAnsi="Times New Roman"/>
          <w:sz w:val="28"/>
          <w:szCs w:val="28"/>
          <w:lang w:val="uk-UA"/>
        </w:rPr>
        <w:t xml:space="preserve"> й </w:t>
      </w:r>
      <w:r w:rsidRPr="004F59F8">
        <w:rPr>
          <w:rFonts w:ascii="Times New Roman" w:hAnsi="Times New Roman"/>
          <w:sz w:val="28"/>
          <w:szCs w:val="28"/>
        </w:rPr>
        <w:t xml:space="preserve">активності студентів </w:t>
      </w:r>
      <w:r>
        <w:rPr>
          <w:rFonts w:ascii="Times New Roman" w:hAnsi="Times New Roman"/>
          <w:sz w:val="28"/>
          <w:szCs w:val="28"/>
          <w:lang w:val="uk-UA"/>
        </w:rPr>
        <w:t xml:space="preserve">ЕГ </w:t>
      </w:r>
      <w:r w:rsidRPr="004F59F8">
        <w:rPr>
          <w:rFonts w:ascii="Times New Roman" w:hAnsi="Times New Roman"/>
          <w:sz w:val="28"/>
          <w:szCs w:val="28"/>
          <w:lang w:val="uk-UA"/>
        </w:rPr>
        <w:t>за мотиваційним критерієм</w:t>
      </w:r>
      <w:r w:rsidRPr="004F59F8">
        <w:rPr>
          <w:rFonts w:ascii="Times New Roman" w:hAnsi="Times New Roman"/>
          <w:sz w:val="28"/>
          <w:szCs w:val="28"/>
        </w:rPr>
        <w:t xml:space="preserve"> </w:t>
      </w:r>
      <w:r w:rsidRPr="004F59F8">
        <w:rPr>
          <w:rFonts w:ascii="Times New Roman" w:hAnsi="Times New Roman"/>
          <w:sz w:val="28"/>
          <w:szCs w:val="28"/>
          <w:lang w:val="uk-UA"/>
        </w:rPr>
        <w:t xml:space="preserve">на констатувальному етапі </w:t>
      </w:r>
      <w:r w:rsidRPr="004F59F8">
        <w:rPr>
          <w:rFonts w:ascii="Times New Roman" w:hAnsi="Times New Roman"/>
          <w:sz w:val="28"/>
          <w:szCs w:val="28"/>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5"/>
        <w:gridCol w:w="1728"/>
        <w:gridCol w:w="1880"/>
      </w:tblGrid>
      <w:tr w:rsidR="007F35C0" w:rsidRPr="004F59F8" w:rsidTr="00625FBA">
        <w:trPr>
          <w:trHeight w:val="454"/>
        </w:trPr>
        <w:tc>
          <w:tcPr>
            <w:tcW w:w="1565" w:type="dxa"/>
          </w:tcPr>
          <w:p w:rsidR="007F35C0" w:rsidRPr="004F59F8" w:rsidRDefault="007F35C0" w:rsidP="00A33AF6">
            <w:pPr>
              <w:spacing w:after="0" w:line="360" w:lineRule="auto"/>
              <w:ind w:firstLine="709"/>
              <w:jc w:val="center"/>
              <w:rPr>
                <w:rFonts w:ascii="Times New Roman" w:hAnsi="Times New Roman"/>
                <w:sz w:val="28"/>
                <w:szCs w:val="28"/>
              </w:rPr>
            </w:pPr>
          </w:p>
        </w:tc>
        <w:tc>
          <w:tcPr>
            <w:tcW w:w="1728" w:type="dxa"/>
          </w:tcPr>
          <w:p w:rsidR="007F35C0" w:rsidRPr="004F59F8" w:rsidRDefault="007F35C0" w:rsidP="00A33AF6">
            <w:pPr>
              <w:spacing w:after="0" w:line="360" w:lineRule="auto"/>
              <w:ind w:firstLine="709"/>
              <w:rPr>
                <w:rFonts w:ascii="Times New Roman" w:hAnsi="Times New Roman"/>
                <w:sz w:val="28"/>
                <w:szCs w:val="28"/>
              </w:rPr>
            </w:pPr>
            <w:r>
              <w:rPr>
                <w:rFonts w:ascii="Times New Roman" w:hAnsi="Times New Roman"/>
                <w:sz w:val="28"/>
                <w:szCs w:val="28"/>
                <w:lang w:val="uk-UA"/>
              </w:rPr>
              <w:t>Ос</w:t>
            </w:r>
            <w:r w:rsidRPr="004F59F8">
              <w:rPr>
                <w:rFonts w:ascii="Times New Roman" w:hAnsi="Times New Roman"/>
                <w:sz w:val="28"/>
                <w:szCs w:val="28"/>
              </w:rPr>
              <w:t>.</w:t>
            </w:r>
          </w:p>
        </w:tc>
        <w:tc>
          <w:tcPr>
            <w:tcW w:w="1880" w:type="dxa"/>
          </w:tcPr>
          <w:p w:rsidR="007F35C0" w:rsidRPr="004F59F8" w:rsidRDefault="007F35C0" w:rsidP="00A33AF6">
            <w:pPr>
              <w:spacing w:after="0" w:line="360" w:lineRule="auto"/>
              <w:ind w:firstLine="709"/>
              <w:rPr>
                <w:rFonts w:ascii="Times New Roman" w:hAnsi="Times New Roman"/>
                <w:sz w:val="28"/>
                <w:szCs w:val="28"/>
                <w:lang w:val="uk-UA"/>
              </w:rPr>
            </w:pPr>
            <w:r w:rsidRPr="004F59F8">
              <w:rPr>
                <w:rFonts w:ascii="Times New Roman" w:hAnsi="Times New Roman"/>
                <w:sz w:val="28"/>
                <w:szCs w:val="28"/>
              </w:rPr>
              <w:t>%</w:t>
            </w:r>
          </w:p>
        </w:tc>
      </w:tr>
      <w:tr w:rsidR="007F35C0" w:rsidRPr="004F59F8" w:rsidTr="00625FBA">
        <w:trPr>
          <w:trHeight w:val="521"/>
        </w:trPr>
        <w:tc>
          <w:tcPr>
            <w:tcW w:w="1565" w:type="dxa"/>
          </w:tcPr>
          <w:p w:rsidR="007F35C0" w:rsidRPr="004F59F8" w:rsidRDefault="007F35C0" w:rsidP="002C37CD">
            <w:pPr>
              <w:spacing w:after="0" w:line="240" w:lineRule="auto"/>
              <w:jc w:val="center"/>
              <w:rPr>
                <w:rFonts w:ascii="Times New Roman" w:hAnsi="Times New Roman"/>
                <w:sz w:val="28"/>
                <w:szCs w:val="28"/>
                <w:lang w:val="uk-UA"/>
              </w:rPr>
            </w:pPr>
            <w:r w:rsidRPr="004F59F8">
              <w:rPr>
                <w:rFonts w:ascii="Times New Roman" w:hAnsi="Times New Roman"/>
                <w:sz w:val="28"/>
                <w:szCs w:val="28"/>
                <w:lang w:val="uk-UA"/>
              </w:rPr>
              <w:t>Високий рівень</w:t>
            </w:r>
          </w:p>
        </w:tc>
        <w:tc>
          <w:tcPr>
            <w:tcW w:w="1728" w:type="dxa"/>
          </w:tcPr>
          <w:p w:rsidR="007F35C0" w:rsidRPr="004F59F8" w:rsidRDefault="007F35C0" w:rsidP="002C37CD">
            <w:pPr>
              <w:spacing w:after="0" w:line="240" w:lineRule="auto"/>
              <w:ind w:firstLine="709"/>
              <w:rPr>
                <w:rFonts w:ascii="Times New Roman" w:hAnsi="Times New Roman"/>
                <w:sz w:val="28"/>
                <w:szCs w:val="28"/>
                <w:lang w:val="uk-UA"/>
              </w:rPr>
            </w:pPr>
            <w:r w:rsidRPr="004F59F8">
              <w:rPr>
                <w:rFonts w:ascii="Times New Roman" w:hAnsi="Times New Roman"/>
                <w:sz w:val="28"/>
                <w:szCs w:val="28"/>
                <w:lang w:val="uk-UA"/>
              </w:rPr>
              <w:t>4</w:t>
            </w:r>
          </w:p>
        </w:tc>
        <w:tc>
          <w:tcPr>
            <w:tcW w:w="1880" w:type="dxa"/>
          </w:tcPr>
          <w:p w:rsidR="007F35C0" w:rsidRPr="004F59F8" w:rsidRDefault="007F35C0" w:rsidP="002C37CD">
            <w:pPr>
              <w:spacing w:after="0" w:line="240" w:lineRule="auto"/>
              <w:ind w:firstLine="709"/>
              <w:rPr>
                <w:rFonts w:ascii="Times New Roman" w:hAnsi="Times New Roman"/>
                <w:sz w:val="28"/>
                <w:szCs w:val="28"/>
                <w:lang w:val="uk-UA"/>
              </w:rPr>
            </w:pPr>
            <w:r w:rsidRPr="004F59F8">
              <w:rPr>
                <w:rFonts w:ascii="Times New Roman" w:hAnsi="Times New Roman"/>
                <w:sz w:val="28"/>
                <w:szCs w:val="28"/>
                <w:lang w:val="uk-UA"/>
              </w:rPr>
              <w:t>38, 2</w:t>
            </w:r>
          </w:p>
        </w:tc>
      </w:tr>
      <w:tr w:rsidR="007F35C0" w:rsidRPr="004F59F8" w:rsidTr="00625FBA">
        <w:trPr>
          <w:trHeight w:val="575"/>
        </w:trPr>
        <w:tc>
          <w:tcPr>
            <w:tcW w:w="1565" w:type="dxa"/>
          </w:tcPr>
          <w:p w:rsidR="007F35C0" w:rsidRPr="004F59F8" w:rsidRDefault="007F35C0" w:rsidP="002C37CD">
            <w:pPr>
              <w:spacing w:after="0" w:line="240" w:lineRule="auto"/>
              <w:jc w:val="center"/>
              <w:rPr>
                <w:rFonts w:ascii="Times New Roman" w:hAnsi="Times New Roman"/>
                <w:sz w:val="28"/>
                <w:szCs w:val="28"/>
                <w:lang w:val="uk-UA"/>
              </w:rPr>
            </w:pPr>
            <w:r w:rsidRPr="004F59F8">
              <w:rPr>
                <w:rFonts w:ascii="Times New Roman" w:hAnsi="Times New Roman"/>
                <w:sz w:val="28"/>
                <w:szCs w:val="28"/>
                <w:lang w:val="uk-UA"/>
              </w:rPr>
              <w:t>Середній рівень</w:t>
            </w:r>
          </w:p>
        </w:tc>
        <w:tc>
          <w:tcPr>
            <w:tcW w:w="1728" w:type="dxa"/>
          </w:tcPr>
          <w:p w:rsidR="007F35C0" w:rsidRPr="004F59F8" w:rsidRDefault="007F35C0" w:rsidP="002C37CD">
            <w:pPr>
              <w:spacing w:after="0" w:line="240" w:lineRule="auto"/>
              <w:ind w:firstLine="709"/>
              <w:rPr>
                <w:rFonts w:ascii="Times New Roman" w:hAnsi="Times New Roman"/>
                <w:sz w:val="28"/>
                <w:szCs w:val="28"/>
                <w:lang w:val="uk-UA"/>
              </w:rPr>
            </w:pPr>
            <w:r w:rsidRPr="004F59F8">
              <w:rPr>
                <w:rFonts w:ascii="Times New Roman" w:hAnsi="Times New Roman"/>
                <w:sz w:val="28"/>
                <w:szCs w:val="28"/>
                <w:lang w:val="uk-UA"/>
              </w:rPr>
              <w:t>5</w:t>
            </w:r>
          </w:p>
        </w:tc>
        <w:tc>
          <w:tcPr>
            <w:tcW w:w="1880" w:type="dxa"/>
          </w:tcPr>
          <w:p w:rsidR="007F35C0" w:rsidRPr="004F59F8" w:rsidRDefault="007F35C0" w:rsidP="002C37CD">
            <w:pPr>
              <w:spacing w:after="0" w:line="240" w:lineRule="auto"/>
              <w:ind w:firstLine="709"/>
              <w:rPr>
                <w:rFonts w:ascii="Times New Roman" w:hAnsi="Times New Roman"/>
                <w:sz w:val="28"/>
                <w:szCs w:val="28"/>
                <w:lang w:val="uk-UA"/>
              </w:rPr>
            </w:pPr>
            <w:r w:rsidRPr="004F59F8">
              <w:rPr>
                <w:rFonts w:ascii="Times New Roman" w:hAnsi="Times New Roman"/>
                <w:sz w:val="28"/>
                <w:szCs w:val="28"/>
                <w:lang w:val="uk-UA"/>
              </w:rPr>
              <w:t>49, 3</w:t>
            </w:r>
          </w:p>
        </w:tc>
      </w:tr>
      <w:tr w:rsidR="007F35C0" w:rsidRPr="004F59F8" w:rsidTr="00625FBA">
        <w:trPr>
          <w:trHeight w:val="303"/>
        </w:trPr>
        <w:tc>
          <w:tcPr>
            <w:tcW w:w="1565" w:type="dxa"/>
          </w:tcPr>
          <w:p w:rsidR="007F35C0" w:rsidRPr="004F59F8" w:rsidRDefault="007F35C0" w:rsidP="002C37CD">
            <w:pPr>
              <w:spacing w:after="0" w:line="240" w:lineRule="auto"/>
              <w:jc w:val="center"/>
              <w:rPr>
                <w:rFonts w:ascii="Times New Roman" w:hAnsi="Times New Roman"/>
                <w:sz w:val="28"/>
                <w:szCs w:val="28"/>
                <w:lang w:val="uk-UA"/>
              </w:rPr>
            </w:pPr>
            <w:r w:rsidRPr="004F59F8">
              <w:rPr>
                <w:rFonts w:ascii="Times New Roman" w:hAnsi="Times New Roman"/>
                <w:sz w:val="28"/>
                <w:szCs w:val="28"/>
                <w:lang w:val="uk-UA"/>
              </w:rPr>
              <w:t>Низький рівень</w:t>
            </w:r>
          </w:p>
        </w:tc>
        <w:tc>
          <w:tcPr>
            <w:tcW w:w="1728" w:type="dxa"/>
          </w:tcPr>
          <w:p w:rsidR="007F35C0" w:rsidRPr="004F59F8" w:rsidRDefault="007F35C0" w:rsidP="002C37CD">
            <w:pPr>
              <w:spacing w:after="0" w:line="240" w:lineRule="auto"/>
              <w:ind w:firstLine="709"/>
              <w:rPr>
                <w:rFonts w:ascii="Times New Roman" w:hAnsi="Times New Roman"/>
                <w:sz w:val="28"/>
                <w:szCs w:val="28"/>
                <w:lang w:val="uk-UA"/>
              </w:rPr>
            </w:pPr>
            <w:r w:rsidRPr="004F59F8">
              <w:rPr>
                <w:rFonts w:ascii="Times New Roman" w:hAnsi="Times New Roman"/>
                <w:sz w:val="28"/>
                <w:szCs w:val="28"/>
                <w:lang w:val="uk-UA"/>
              </w:rPr>
              <w:t>1</w:t>
            </w:r>
          </w:p>
        </w:tc>
        <w:tc>
          <w:tcPr>
            <w:tcW w:w="1880" w:type="dxa"/>
          </w:tcPr>
          <w:p w:rsidR="007F35C0" w:rsidRPr="004F59F8" w:rsidRDefault="007F35C0" w:rsidP="002C37CD">
            <w:pPr>
              <w:spacing w:after="0" w:line="240" w:lineRule="auto"/>
              <w:ind w:firstLine="709"/>
              <w:rPr>
                <w:rFonts w:ascii="Times New Roman" w:hAnsi="Times New Roman"/>
                <w:sz w:val="28"/>
                <w:szCs w:val="28"/>
                <w:lang w:val="uk-UA"/>
              </w:rPr>
            </w:pPr>
            <w:r w:rsidRPr="004F59F8">
              <w:rPr>
                <w:rFonts w:ascii="Times New Roman" w:hAnsi="Times New Roman"/>
                <w:sz w:val="28"/>
                <w:szCs w:val="28"/>
                <w:lang w:val="uk-UA"/>
              </w:rPr>
              <w:t>12, 5</w:t>
            </w:r>
          </w:p>
        </w:tc>
      </w:tr>
    </w:tbl>
    <w:p w:rsidR="007F35C0" w:rsidRPr="004F59F8" w:rsidRDefault="007F35C0" w:rsidP="0049618B">
      <w:pPr>
        <w:spacing w:after="0" w:line="360" w:lineRule="auto"/>
        <w:ind w:firstLine="709"/>
        <w:jc w:val="center"/>
        <w:rPr>
          <w:rFonts w:ascii="Times New Roman" w:hAnsi="Times New Roman"/>
          <w:sz w:val="28"/>
          <w:szCs w:val="28"/>
        </w:rPr>
      </w:pPr>
      <w:r w:rsidRPr="0099138C">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73.75pt;height:171pt;visibility:visible">
            <v:imagedata r:id="rId5" o:title=""/>
          </v:shape>
        </w:pict>
      </w:r>
    </w:p>
    <w:p w:rsidR="007F35C0" w:rsidRPr="004F59F8" w:rsidRDefault="007F35C0" w:rsidP="00A33AF6">
      <w:pPr>
        <w:spacing w:after="0" w:line="360" w:lineRule="auto"/>
        <w:ind w:firstLine="709"/>
        <w:rPr>
          <w:rFonts w:ascii="Times New Roman" w:hAnsi="Times New Roman"/>
          <w:sz w:val="28"/>
          <w:szCs w:val="28"/>
        </w:rPr>
      </w:pPr>
    </w:p>
    <w:p w:rsidR="007F35C0" w:rsidRPr="004F59F8" w:rsidRDefault="007F35C0" w:rsidP="00243720">
      <w:pPr>
        <w:spacing w:after="0" w:line="360" w:lineRule="auto"/>
        <w:ind w:firstLine="709"/>
        <w:jc w:val="both"/>
        <w:rPr>
          <w:rFonts w:ascii="Times New Roman" w:hAnsi="Times New Roman"/>
          <w:sz w:val="28"/>
          <w:szCs w:val="28"/>
        </w:rPr>
      </w:pPr>
      <w:r w:rsidRPr="004F59F8">
        <w:rPr>
          <w:rFonts w:ascii="Times New Roman" w:hAnsi="Times New Roman"/>
          <w:sz w:val="28"/>
          <w:szCs w:val="28"/>
        </w:rPr>
        <w:t>Рис</w:t>
      </w:r>
      <w:r w:rsidRPr="004F59F8">
        <w:rPr>
          <w:rFonts w:ascii="Times New Roman" w:hAnsi="Times New Roman"/>
          <w:sz w:val="28"/>
          <w:szCs w:val="28"/>
          <w:lang w:val="uk-UA"/>
        </w:rPr>
        <w:t>.</w:t>
      </w:r>
      <w:r w:rsidRPr="004F59F8">
        <w:rPr>
          <w:rFonts w:ascii="Times New Roman" w:hAnsi="Times New Roman"/>
          <w:sz w:val="28"/>
          <w:szCs w:val="28"/>
        </w:rPr>
        <w:t xml:space="preserve"> </w:t>
      </w:r>
      <w:r w:rsidRPr="004F59F8">
        <w:rPr>
          <w:rFonts w:ascii="Times New Roman" w:hAnsi="Times New Roman"/>
          <w:sz w:val="28"/>
          <w:szCs w:val="28"/>
          <w:lang w:val="uk-UA"/>
        </w:rPr>
        <w:t>1</w:t>
      </w:r>
      <w:r w:rsidRPr="004F59F8">
        <w:rPr>
          <w:rFonts w:ascii="Times New Roman" w:hAnsi="Times New Roman"/>
          <w:sz w:val="28"/>
          <w:szCs w:val="28"/>
        </w:rPr>
        <w:t xml:space="preserve">. </w:t>
      </w:r>
      <w:r w:rsidRPr="004F59F8">
        <w:rPr>
          <w:rFonts w:ascii="Times New Roman" w:hAnsi="Times New Roman"/>
          <w:sz w:val="28"/>
          <w:szCs w:val="28"/>
          <w:lang w:val="uk-UA"/>
        </w:rPr>
        <w:t>Р</w:t>
      </w:r>
      <w:r w:rsidRPr="004F59F8">
        <w:rPr>
          <w:rFonts w:ascii="Times New Roman" w:hAnsi="Times New Roman"/>
          <w:sz w:val="28"/>
          <w:szCs w:val="28"/>
        </w:rPr>
        <w:t>івн</w:t>
      </w:r>
      <w:r w:rsidRPr="004F59F8">
        <w:rPr>
          <w:rFonts w:ascii="Times New Roman" w:hAnsi="Times New Roman"/>
          <w:sz w:val="28"/>
          <w:szCs w:val="28"/>
          <w:lang w:val="uk-UA"/>
        </w:rPr>
        <w:t>і</w:t>
      </w:r>
      <w:r w:rsidRPr="004F59F8">
        <w:rPr>
          <w:rFonts w:ascii="Times New Roman" w:hAnsi="Times New Roman"/>
          <w:sz w:val="28"/>
          <w:szCs w:val="28"/>
        </w:rPr>
        <w:t xml:space="preserve"> наполегливості</w:t>
      </w:r>
      <w:r w:rsidRPr="004F59F8">
        <w:rPr>
          <w:rFonts w:ascii="Times New Roman" w:hAnsi="Times New Roman"/>
          <w:sz w:val="28"/>
          <w:szCs w:val="28"/>
          <w:lang w:val="uk-UA"/>
        </w:rPr>
        <w:t xml:space="preserve"> й </w:t>
      </w:r>
      <w:r w:rsidRPr="004F59F8">
        <w:rPr>
          <w:rFonts w:ascii="Times New Roman" w:hAnsi="Times New Roman"/>
          <w:sz w:val="28"/>
          <w:szCs w:val="28"/>
        </w:rPr>
        <w:t xml:space="preserve">активності студентів </w:t>
      </w:r>
      <w:r>
        <w:rPr>
          <w:rFonts w:ascii="Times New Roman" w:hAnsi="Times New Roman"/>
          <w:sz w:val="28"/>
          <w:szCs w:val="28"/>
          <w:lang w:val="uk-UA"/>
        </w:rPr>
        <w:t xml:space="preserve">ЕГ </w:t>
      </w:r>
      <w:r w:rsidRPr="004F59F8">
        <w:rPr>
          <w:rFonts w:ascii="Times New Roman" w:hAnsi="Times New Roman"/>
          <w:sz w:val="28"/>
          <w:szCs w:val="28"/>
          <w:lang w:val="uk-UA"/>
        </w:rPr>
        <w:t xml:space="preserve">за мотиваційним </w:t>
      </w:r>
      <w:r w:rsidRPr="004F59F8">
        <w:rPr>
          <w:rFonts w:ascii="Times New Roman" w:hAnsi="Times New Roman"/>
          <w:sz w:val="28"/>
          <w:szCs w:val="28"/>
        </w:rPr>
        <w:t xml:space="preserve"> </w:t>
      </w:r>
      <w:r w:rsidRPr="004F59F8">
        <w:rPr>
          <w:rFonts w:ascii="Times New Roman" w:hAnsi="Times New Roman"/>
          <w:sz w:val="28"/>
          <w:szCs w:val="28"/>
          <w:lang w:val="uk-UA"/>
        </w:rPr>
        <w:t xml:space="preserve">критерієм на констатувальному етапі </w:t>
      </w:r>
      <w:r w:rsidRPr="004F59F8">
        <w:rPr>
          <w:rFonts w:ascii="Times New Roman" w:hAnsi="Times New Roman"/>
          <w:sz w:val="28"/>
          <w:szCs w:val="28"/>
        </w:rPr>
        <w:t xml:space="preserve">                  </w:t>
      </w:r>
    </w:p>
    <w:p w:rsidR="007F35C0" w:rsidRPr="004F59F8" w:rsidRDefault="007F35C0" w:rsidP="00111472">
      <w:pPr>
        <w:spacing w:after="0" w:line="240" w:lineRule="auto"/>
        <w:ind w:left="-540"/>
        <w:jc w:val="center"/>
        <w:rPr>
          <w:rFonts w:ascii="Times New Roman" w:hAnsi="Times New Roman"/>
          <w:b/>
          <w:color w:val="000000"/>
          <w:sz w:val="24"/>
          <w:szCs w:val="24"/>
          <w:lang w:val="uk-UA"/>
        </w:rPr>
      </w:pPr>
    </w:p>
    <w:p w:rsidR="007F35C0" w:rsidRPr="004F59F8" w:rsidRDefault="007F35C0" w:rsidP="002C37CD">
      <w:pPr>
        <w:spacing w:after="0" w:line="360" w:lineRule="auto"/>
        <w:ind w:firstLine="709"/>
        <w:jc w:val="both"/>
        <w:rPr>
          <w:rFonts w:ascii="Times New Roman" w:hAnsi="Times New Roman"/>
          <w:color w:val="000000"/>
          <w:sz w:val="28"/>
          <w:szCs w:val="28"/>
          <w:lang w:val="uk-UA"/>
        </w:rPr>
      </w:pPr>
      <w:r w:rsidRPr="004F59F8">
        <w:rPr>
          <w:rFonts w:ascii="Times New Roman" w:hAnsi="Times New Roman"/>
          <w:color w:val="000000"/>
          <w:sz w:val="28"/>
          <w:szCs w:val="28"/>
          <w:lang w:val="uk-UA"/>
        </w:rPr>
        <w:t xml:space="preserve">За  результатами, відображеними на рис. 3, </w:t>
      </w:r>
      <w:r>
        <w:rPr>
          <w:rFonts w:ascii="Times New Roman" w:hAnsi="Times New Roman"/>
          <w:color w:val="000000"/>
          <w:sz w:val="28"/>
          <w:szCs w:val="28"/>
          <w:lang w:val="uk-UA"/>
        </w:rPr>
        <w:t>видно, що незначний відсоток</w:t>
      </w:r>
      <w:r w:rsidRPr="004F59F8">
        <w:rPr>
          <w:rFonts w:ascii="Times New Roman" w:hAnsi="Times New Roman"/>
          <w:color w:val="000000"/>
          <w:sz w:val="28"/>
          <w:szCs w:val="28"/>
          <w:lang w:val="uk-UA"/>
        </w:rPr>
        <w:t xml:space="preserve"> студентів </w:t>
      </w:r>
      <w:r>
        <w:rPr>
          <w:rFonts w:ascii="Times New Roman" w:hAnsi="Times New Roman"/>
          <w:color w:val="000000"/>
          <w:sz w:val="28"/>
          <w:szCs w:val="28"/>
          <w:lang w:val="uk-UA"/>
        </w:rPr>
        <w:t>м</w:t>
      </w:r>
      <w:r w:rsidRPr="004F59F8">
        <w:rPr>
          <w:rFonts w:ascii="Times New Roman" w:hAnsi="Times New Roman"/>
          <w:color w:val="000000"/>
          <w:sz w:val="28"/>
          <w:szCs w:val="28"/>
          <w:lang w:val="uk-UA"/>
        </w:rPr>
        <w:t xml:space="preserve">ає середній рівень наполегливості. </w:t>
      </w:r>
      <w:r>
        <w:rPr>
          <w:rFonts w:ascii="Times New Roman" w:hAnsi="Times New Roman"/>
          <w:color w:val="000000"/>
          <w:sz w:val="28"/>
          <w:szCs w:val="28"/>
          <w:lang w:val="uk-UA"/>
        </w:rPr>
        <w:t>У</w:t>
      </w:r>
      <w:r w:rsidRPr="004F59F8">
        <w:rPr>
          <w:rFonts w:ascii="Times New Roman" w:hAnsi="Times New Roman"/>
          <w:color w:val="000000"/>
          <w:sz w:val="28"/>
          <w:szCs w:val="28"/>
          <w:lang w:val="uk-UA"/>
        </w:rPr>
        <w:t xml:space="preserve"> більшості студентів групи присутній низький рівень наполегливості, у меншої ж половини спостерігається високий рівень наполегливості. </w:t>
      </w:r>
    </w:p>
    <w:p w:rsidR="007F35C0" w:rsidRPr="004F59F8" w:rsidRDefault="007F35C0" w:rsidP="002C37CD">
      <w:pPr>
        <w:spacing w:after="0" w:line="360" w:lineRule="auto"/>
        <w:ind w:firstLine="709"/>
        <w:jc w:val="both"/>
        <w:rPr>
          <w:rFonts w:ascii="Times New Roman" w:hAnsi="Times New Roman"/>
          <w:b/>
          <w:color w:val="000000"/>
          <w:sz w:val="24"/>
          <w:szCs w:val="24"/>
          <w:lang w:val="uk-UA"/>
        </w:rPr>
      </w:pPr>
      <w:r w:rsidRPr="004F59F8">
        <w:rPr>
          <w:rFonts w:ascii="Times New Roman" w:hAnsi="Times New Roman"/>
          <w:b/>
          <w:color w:val="000000"/>
          <w:sz w:val="28"/>
          <w:szCs w:val="28"/>
          <w:lang w:val="uk-UA"/>
        </w:rPr>
        <w:t>Висновок.</w:t>
      </w:r>
      <w:r w:rsidRPr="004F59F8">
        <w:rPr>
          <w:rFonts w:ascii="Times New Roman" w:hAnsi="Times New Roman"/>
          <w:sz w:val="28"/>
          <w:szCs w:val="28"/>
          <w:lang w:val="uk-UA"/>
        </w:rPr>
        <w:t xml:space="preserve"> Отже, професійна мотивація як властивість особистості студента є системою цілей, потреб, що спонукають його до активного оволодіння вміннями і навичками, свідомого ставлення до професії. Удосконалення сформованих у процесі вивчення металургійних дисциплін </w:t>
      </w:r>
      <w:r>
        <w:rPr>
          <w:rFonts w:ascii="Times New Roman" w:hAnsi="Times New Roman"/>
          <w:sz w:val="28"/>
          <w:szCs w:val="28"/>
          <w:lang w:val="uk-UA"/>
        </w:rPr>
        <w:t xml:space="preserve">фахових </w:t>
      </w:r>
      <w:r w:rsidRPr="004F59F8">
        <w:rPr>
          <w:rFonts w:ascii="Times New Roman" w:hAnsi="Times New Roman"/>
          <w:sz w:val="28"/>
          <w:szCs w:val="28"/>
          <w:lang w:val="uk-UA"/>
        </w:rPr>
        <w:t xml:space="preserve">умінь </w:t>
      </w:r>
      <w:r>
        <w:rPr>
          <w:rFonts w:ascii="Times New Roman" w:hAnsi="Times New Roman"/>
          <w:sz w:val="28"/>
          <w:szCs w:val="28"/>
          <w:lang w:val="uk-UA"/>
        </w:rPr>
        <w:t xml:space="preserve">студентів </w:t>
      </w:r>
      <w:r w:rsidRPr="004F59F8">
        <w:rPr>
          <w:rFonts w:ascii="Times New Roman" w:hAnsi="Times New Roman"/>
          <w:sz w:val="28"/>
          <w:szCs w:val="28"/>
          <w:lang w:val="uk-UA"/>
        </w:rPr>
        <w:t xml:space="preserve">залежить від </w:t>
      </w:r>
      <w:r>
        <w:rPr>
          <w:rFonts w:ascii="Times New Roman" w:hAnsi="Times New Roman"/>
          <w:sz w:val="28"/>
          <w:szCs w:val="28"/>
          <w:lang w:val="uk-UA"/>
        </w:rPr>
        <w:t xml:space="preserve">їхньої </w:t>
      </w:r>
      <w:r w:rsidRPr="004F59F8">
        <w:rPr>
          <w:rFonts w:ascii="Times New Roman" w:hAnsi="Times New Roman"/>
          <w:sz w:val="28"/>
          <w:szCs w:val="28"/>
          <w:lang w:val="uk-UA"/>
        </w:rPr>
        <w:t>мотивації.</w:t>
      </w:r>
    </w:p>
    <w:p w:rsidR="007F35C0" w:rsidRPr="004F59F8" w:rsidRDefault="007F35C0" w:rsidP="00B75ED3">
      <w:pPr>
        <w:spacing w:after="0" w:line="240" w:lineRule="auto"/>
        <w:ind w:left="-540"/>
        <w:rPr>
          <w:rFonts w:ascii="Times New Roman" w:hAnsi="Times New Roman"/>
          <w:b/>
          <w:color w:val="000000"/>
          <w:sz w:val="24"/>
          <w:szCs w:val="24"/>
          <w:lang w:val="uk-UA"/>
        </w:rPr>
      </w:pPr>
      <w:r w:rsidRPr="004F59F8">
        <w:rPr>
          <w:rFonts w:ascii="Times New Roman" w:hAnsi="Times New Roman"/>
          <w:b/>
          <w:color w:val="000000"/>
          <w:sz w:val="24"/>
          <w:szCs w:val="24"/>
          <w:lang w:val="uk-UA"/>
        </w:rPr>
        <w:t>Література:</w:t>
      </w:r>
    </w:p>
    <w:p w:rsidR="007F35C0" w:rsidRPr="004F59F8" w:rsidRDefault="007F35C0" w:rsidP="004F59F8">
      <w:pPr>
        <w:spacing w:after="0" w:line="240" w:lineRule="auto"/>
        <w:ind w:left="-540"/>
        <w:jc w:val="center"/>
        <w:rPr>
          <w:rFonts w:ascii="Times New Roman" w:hAnsi="Times New Roman"/>
          <w:b/>
          <w:color w:val="000000"/>
          <w:sz w:val="24"/>
          <w:szCs w:val="24"/>
          <w:lang w:val="uk-UA"/>
        </w:rPr>
      </w:pPr>
    </w:p>
    <w:p w:rsidR="007F35C0" w:rsidRPr="004F59F8" w:rsidRDefault="007F35C0" w:rsidP="004F59F8">
      <w:pPr>
        <w:numPr>
          <w:ilvl w:val="0"/>
          <w:numId w:val="13"/>
        </w:numPr>
        <w:spacing w:after="100" w:afterAutospacing="1" w:line="240" w:lineRule="auto"/>
        <w:ind w:left="426" w:firstLine="425"/>
        <w:jc w:val="both"/>
        <w:rPr>
          <w:rFonts w:ascii="Times New Roman" w:hAnsi="Times New Roman"/>
          <w:color w:val="000000"/>
          <w:sz w:val="24"/>
          <w:szCs w:val="24"/>
          <w:lang w:val="uk-UA"/>
        </w:rPr>
      </w:pPr>
      <w:r w:rsidRPr="004F59F8">
        <w:rPr>
          <w:rFonts w:ascii="Times New Roman" w:hAnsi="Times New Roman"/>
          <w:color w:val="000000"/>
          <w:sz w:val="24"/>
          <w:szCs w:val="24"/>
          <w:lang w:val="uk-UA"/>
        </w:rPr>
        <w:t>Бандурка, О.М Про сьогодення вищої освіти в Україні / О.Бандурка // Вища школа. – 2011. – № 9. – С. 7-15.</w:t>
      </w:r>
    </w:p>
    <w:p w:rsidR="007F35C0" w:rsidRPr="004F59F8" w:rsidRDefault="007F35C0" w:rsidP="004F59F8">
      <w:pPr>
        <w:numPr>
          <w:ilvl w:val="0"/>
          <w:numId w:val="13"/>
        </w:numPr>
        <w:spacing w:after="100" w:afterAutospacing="1" w:line="240" w:lineRule="auto"/>
        <w:ind w:left="426" w:firstLine="425"/>
        <w:jc w:val="both"/>
        <w:rPr>
          <w:rFonts w:ascii="Times New Roman" w:hAnsi="Times New Roman"/>
          <w:color w:val="000000"/>
          <w:sz w:val="24"/>
          <w:szCs w:val="24"/>
          <w:lang w:val="uk-UA"/>
        </w:rPr>
      </w:pPr>
      <w:r w:rsidRPr="004F59F8">
        <w:rPr>
          <w:rFonts w:ascii="Times New Roman" w:hAnsi="Times New Roman"/>
          <w:color w:val="000000"/>
          <w:sz w:val="24"/>
          <w:szCs w:val="24"/>
          <w:lang w:val="uk-UA"/>
        </w:rPr>
        <w:t>Вієвська, М. Формування мотивації фахівця до безперервної професійної освіти / М. Вієвська, Л. Красовська // Вища школа. – 2011. – № 1. – С. 75-82.</w:t>
      </w:r>
    </w:p>
    <w:p w:rsidR="007F35C0" w:rsidRPr="004F59F8" w:rsidRDefault="007F35C0" w:rsidP="004F59F8">
      <w:pPr>
        <w:numPr>
          <w:ilvl w:val="0"/>
          <w:numId w:val="13"/>
        </w:numPr>
        <w:spacing w:after="100" w:afterAutospacing="1" w:line="240" w:lineRule="auto"/>
        <w:ind w:left="426" w:firstLine="425"/>
        <w:jc w:val="both"/>
        <w:rPr>
          <w:rFonts w:ascii="Times New Roman" w:hAnsi="Times New Roman"/>
          <w:color w:val="000000"/>
          <w:sz w:val="24"/>
          <w:szCs w:val="24"/>
          <w:lang w:val="uk-UA"/>
        </w:rPr>
      </w:pPr>
      <w:r w:rsidRPr="004F59F8">
        <w:rPr>
          <w:rFonts w:ascii="Times New Roman" w:hAnsi="Times New Roman"/>
          <w:color w:val="000000"/>
          <w:sz w:val="24"/>
          <w:szCs w:val="24"/>
          <w:lang w:val="uk-UA"/>
        </w:rPr>
        <w:t>Єрохін, С. А. Концепція професійної мотивації студентів як фактору конкурентності на ринку праці / Єрохін С.А., Нікітін Ю.В., Нікітіна І.В. // Юридична наука. – 2011. – №1. – С. 20-28.</w:t>
      </w:r>
    </w:p>
    <w:p w:rsidR="007F35C0" w:rsidRPr="004F59F8" w:rsidRDefault="007F35C0" w:rsidP="004F59F8">
      <w:pPr>
        <w:numPr>
          <w:ilvl w:val="0"/>
          <w:numId w:val="13"/>
        </w:numPr>
        <w:spacing w:after="100" w:afterAutospacing="1" w:line="240" w:lineRule="auto"/>
        <w:ind w:left="426" w:firstLine="425"/>
        <w:jc w:val="both"/>
        <w:rPr>
          <w:rFonts w:ascii="Times New Roman" w:hAnsi="Times New Roman"/>
          <w:color w:val="000000"/>
          <w:sz w:val="24"/>
          <w:szCs w:val="24"/>
          <w:lang w:val="uk-UA"/>
        </w:rPr>
      </w:pPr>
      <w:r w:rsidRPr="004F59F8">
        <w:rPr>
          <w:rFonts w:ascii="Times New Roman" w:hAnsi="Times New Roman"/>
          <w:color w:val="000000"/>
          <w:sz w:val="24"/>
          <w:szCs w:val="24"/>
          <w:lang w:val="uk-UA"/>
        </w:rPr>
        <w:t xml:space="preserve">Лисовець, Н.М. Профессиональная мотивация студентов как способ активации обучения [Электронный ресурс] / Н.М. Лисовец. – Режим доступа: </w:t>
      </w:r>
      <w:hyperlink r:id="rId6" w:history="1">
        <w:r w:rsidRPr="004F59F8">
          <w:rPr>
            <w:rStyle w:val="Hyperlink"/>
            <w:rFonts w:ascii="Times New Roman" w:hAnsi="Times New Roman"/>
            <w:sz w:val="24"/>
            <w:szCs w:val="24"/>
            <w:lang w:val="uk-UA"/>
          </w:rPr>
          <w:t>http://www.masters.donntu.edu.ua/2012/iem/temnenko/library/article5.htm</w:t>
        </w:r>
      </w:hyperlink>
      <w:r w:rsidRPr="004F59F8">
        <w:rPr>
          <w:rFonts w:ascii="Times New Roman" w:hAnsi="Times New Roman"/>
          <w:color w:val="000000"/>
          <w:sz w:val="24"/>
          <w:szCs w:val="24"/>
          <w:lang w:val="uk-UA"/>
        </w:rPr>
        <w:t>.</w:t>
      </w:r>
    </w:p>
    <w:p w:rsidR="007F35C0" w:rsidRPr="004F59F8" w:rsidRDefault="007F35C0" w:rsidP="004F59F8">
      <w:pPr>
        <w:numPr>
          <w:ilvl w:val="0"/>
          <w:numId w:val="13"/>
        </w:numPr>
        <w:spacing w:after="100" w:afterAutospacing="1" w:line="240" w:lineRule="auto"/>
        <w:ind w:left="426" w:firstLine="425"/>
        <w:jc w:val="both"/>
        <w:rPr>
          <w:rFonts w:ascii="Times New Roman" w:hAnsi="Times New Roman"/>
          <w:color w:val="000000"/>
          <w:sz w:val="24"/>
          <w:szCs w:val="24"/>
          <w:lang w:val="uk-UA"/>
        </w:rPr>
      </w:pPr>
      <w:r w:rsidRPr="004F59F8">
        <w:rPr>
          <w:rFonts w:ascii="Times New Roman" w:hAnsi="Times New Roman"/>
          <w:sz w:val="24"/>
          <w:szCs w:val="24"/>
          <w:lang w:val="uk-UA"/>
        </w:rPr>
        <w:t>Пінська, О. Професійна мотивація як засіб підвищення ефективності навчальної діяльності студентів / О. Пінська // Проблеми трудової і професійної підготовки. – 2009. – Випуск 14. – С. 111-115.</w:t>
      </w:r>
    </w:p>
    <w:p w:rsidR="007F35C0" w:rsidRPr="004F59F8" w:rsidRDefault="007F35C0" w:rsidP="00A902A4">
      <w:pPr>
        <w:spacing w:after="0" w:line="360" w:lineRule="auto"/>
        <w:ind w:firstLine="709"/>
        <w:jc w:val="both"/>
        <w:rPr>
          <w:rFonts w:ascii="Times New Roman" w:hAnsi="Times New Roman"/>
          <w:sz w:val="28"/>
          <w:szCs w:val="28"/>
          <w:lang w:val="uk-UA"/>
        </w:rPr>
      </w:pPr>
    </w:p>
    <w:p w:rsidR="007F35C0" w:rsidRPr="004F59F8" w:rsidRDefault="007F35C0" w:rsidP="004C2D90">
      <w:pPr>
        <w:tabs>
          <w:tab w:val="left" w:pos="720"/>
        </w:tabs>
        <w:spacing w:after="0" w:line="240" w:lineRule="auto"/>
        <w:jc w:val="right"/>
        <w:rPr>
          <w:rFonts w:ascii="Times New Roman" w:hAnsi="Times New Roman"/>
          <w:b/>
          <w:sz w:val="24"/>
          <w:szCs w:val="24"/>
          <w:lang w:val="uk-UA"/>
        </w:rPr>
      </w:pPr>
    </w:p>
    <w:sectPr w:rsidR="007F35C0" w:rsidRPr="004F59F8" w:rsidSect="004F59F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D9C7BE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A20593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C40D7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AA811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4C51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FC4F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628C8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6E62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5BE35F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260A3A"/>
    <w:lvl w:ilvl="0">
      <w:start w:val="1"/>
      <w:numFmt w:val="bullet"/>
      <w:lvlText w:val=""/>
      <w:lvlJc w:val="left"/>
      <w:pPr>
        <w:tabs>
          <w:tab w:val="num" w:pos="360"/>
        </w:tabs>
        <w:ind w:left="360" w:hanging="360"/>
      </w:pPr>
      <w:rPr>
        <w:rFonts w:ascii="Symbol" w:hAnsi="Symbol" w:hint="default"/>
      </w:rPr>
    </w:lvl>
  </w:abstractNum>
  <w:abstractNum w:abstractNumId="10">
    <w:nsid w:val="454079D9"/>
    <w:multiLevelType w:val="hybridMultilevel"/>
    <w:tmpl w:val="02060B54"/>
    <w:lvl w:ilvl="0" w:tplc="FAEE1F22">
      <w:start w:val="1"/>
      <w:numFmt w:val="decimal"/>
      <w:lvlText w:val="%1."/>
      <w:lvlJc w:val="left"/>
      <w:pPr>
        <w:ind w:left="-180" w:hanging="360"/>
      </w:pPr>
      <w:rPr>
        <w:rFonts w:cs="Times New Roman" w:hint="default"/>
        <w:b w:val="0"/>
      </w:rPr>
    </w:lvl>
    <w:lvl w:ilvl="1" w:tplc="04190019" w:tentative="1">
      <w:start w:val="1"/>
      <w:numFmt w:val="lowerLetter"/>
      <w:lvlText w:val="%2."/>
      <w:lvlJc w:val="left"/>
      <w:pPr>
        <w:ind w:left="540" w:hanging="360"/>
      </w:pPr>
      <w:rPr>
        <w:rFonts w:cs="Times New Roman"/>
      </w:rPr>
    </w:lvl>
    <w:lvl w:ilvl="2" w:tplc="0419001B" w:tentative="1">
      <w:start w:val="1"/>
      <w:numFmt w:val="lowerRoman"/>
      <w:lvlText w:val="%3."/>
      <w:lvlJc w:val="right"/>
      <w:pPr>
        <w:ind w:left="1260" w:hanging="180"/>
      </w:pPr>
      <w:rPr>
        <w:rFonts w:cs="Times New Roman"/>
      </w:rPr>
    </w:lvl>
    <w:lvl w:ilvl="3" w:tplc="0419000F" w:tentative="1">
      <w:start w:val="1"/>
      <w:numFmt w:val="decimal"/>
      <w:lvlText w:val="%4."/>
      <w:lvlJc w:val="left"/>
      <w:pPr>
        <w:ind w:left="1980" w:hanging="360"/>
      </w:pPr>
      <w:rPr>
        <w:rFonts w:cs="Times New Roman"/>
      </w:rPr>
    </w:lvl>
    <w:lvl w:ilvl="4" w:tplc="04190019" w:tentative="1">
      <w:start w:val="1"/>
      <w:numFmt w:val="lowerLetter"/>
      <w:lvlText w:val="%5."/>
      <w:lvlJc w:val="left"/>
      <w:pPr>
        <w:ind w:left="2700" w:hanging="360"/>
      </w:pPr>
      <w:rPr>
        <w:rFonts w:cs="Times New Roman"/>
      </w:rPr>
    </w:lvl>
    <w:lvl w:ilvl="5" w:tplc="0419001B" w:tentative="1">
      <w:start w:val="1"/>
      <w:numFmt w:val="lowerRoman"/>
      <w:lvlText w:val="%6."/>
      <w:lvlJc w:val="right"/>
      <w:pPr>
        <w:ind w:left="3420" w:hanging="180"/>
      </w:pPr>
      <w:rPr>
        <w:rFonts w:cs="Times New Roman"/>
      </w:rPr>
    </w:lvl>
    <w:lvl w:ilvl="6" w:tplc="0419000F" w:tentative="1">
      <w:start w:val="1"/>
      <w:numFmt w:val="decimal"/>
      <w:lvlText w:val="%7."/>
      <w:lvlJc w:val="left"/>
      <w:pPr>
        <w:ind w:left="4140" w:hanging="360"/>
      </w:pPr>
      <w:rPr>
        <w:rFonts w:cs="Times New Roman"/>
      </w:rPr>
    </w:lvl>
    <w:lvl w:ilvl="7" w:tplc="04190019" w:tentative="1">
      <w:start w:val="1"/>
      <w:numFmt w:val="lowerLetter"/>
      <w:lvlText w:val="%8."/>
      <w:lvlJc w:val="left"/>
      <w:pPr>
        <w:ind w:left="4860" w:hanging="360"/>
      </w:pPr>
      <w:rPr>
        <w:rFonts w:cs="Times New Roman"/>
      </w:rPr>
    </w:lvl>
    <w:lvl w:ilvl="8" w:tplc="0419001B" w:tentative="1">
      <w:start w:val="1"/>
      <w:numFmt w:val="lowerRoman"/>
      <w:lvlText w:val="%9."/>
      <w:lvlJc w:val="right"/>
      <w:pPr>
        <w:ind w:left="5580" w:hanging="180"/>
      </w:pPr>
      <w:rPr>
        <w:rFonts w:cs="Times New Roman"/>
      </w:rPr>
    </w:lvl>
  </w:abstractNum>
  <w:abstractNum w:abstractNumId="11">
    <w:nsid w:val="6A451918"/>
    <w:multiLevelType w:val="hybridMultilevel"/>
    <w:tmpl w:val="0AAA5E66"/>
    <w:lvl w:ilvl="0" w:tplc="A0B6F378">
      <w:start w:val="1"/>
      <w:numFmt w:val="decimal"/>
      <w:lvlText w:val="%1."/>
      <w:lvlJc w:val="left"/>
      <w:pPr>
        <w:ind w:left="705" w:hanging="885"/>
      </w:pPr>
      <w:rPr>
        <w:rFonts w:cs="Times New Roman" w:hint="default"/>
      </w:rPr>
    </w:lvl>
    <w:lvl w:ilvl="1" w:tplc="04190019" w:tentative="1">
      <w:start w:val="1"/>
      <w:numFmt w:val="lowerLetter"/>
      <w:lvlText w:val="%2."/>
      <w:lvlJc w:val="left"/>
      <w:pPr>
        <w:ind w:left="900" w:hanging="360"/>
      </w:pPr>
      <w:rPr>
        <w:rFonts w:cs="Times New Roman"/>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abstractNum w:abstractNumId="12">
    <w:nsid w:val="7588438C"/>
    <w:multiLevelType w:val="hybridMultilevel"/>
    <w:tmpl w:val="FAD2CC06"/>
    <w:lvl w:ilvl="0" w:tplc="8458B178">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14D5"/>
    <w:rsid w:val="00006377"/>
    <w:rsid w:val="00012E88"/>
    <w:rsid w:val="00034B98"/>
    <w:rsid w:val="000B746E"/>
    <w:rsid w:val="000B7DC4"/>
    <w:rsid w:val="000C40D3"/>
    <w:rsid w:val="000C7C0A"/>
    <w:rsid w:val="00110AA8"/>
    <w:rsid w:val="00111472"/>
    <w:rsid w:val="00135340"/>
    <w:rsid w:val="001605B7"/>
    <w:rsid w:val="001805A2"/>
    <w:rsid w:val="00187015"/>
    <w:rsid w:val="001A2D62"/>
    <w:rsid w:val="001B4428"/>
    <w:rsid w:val="001C0862"/>
    <w:rsid w:val="001F2012"/>
    <w:rsid w:val="001F5D7A"/>
    <w:rsid w:val="002006BE"/>
    <w:rsid w:val="0021571F"/>
    <w:rsid w:val="00243720"/>
    <w:rsid w:val="002720D0"/>
    <w:rsid w:val="002C37CD"/>
    <w:rsid w:val="002F1F86"/>
    <w:rsid w:val="00362EE8"/>
    <w:rsid w:val="003759DF"/>
    <w:rsid w:val="003968A4"/>
    <w:rsid w:val="003B248F"/>
    <w:rsid w:val="003E76FD"/>
    <w:rsid w:val="003F4550"/>
    <w:rsid w:val="00403F6D"/>
    <w:rsid w:val="00411DC3"/>
    <w:rsid w:val="00414F71"/>
    <w:rsid w:val="0043033C"/>
    <w:rsid w:val="00472DD7"/>
    <w:rsid w:val="0049618B"/>
    <w:rsid w:val="004C2D90"/>
    <w:rsid w:val="004F59F8"/>
    <w:rsid w:val="0051066B"/>
    <w:rsid w:val="00592812"/>
    <w:rsid w:val="005B76FE"/>
    <w:rsid w:val="005E2EBF"/>
    <w:rsid w:val="00605EFC"/>
    <w:rsid w:val="006130A0"/>
    <w:rsid w:val="00625FBA"/>
    <w:rsid w:val="0063562A"/>
    <w:rsid w:val="00671E1C"/>
    <w:rsid w:val="00683FB9"/>
    <w:rsid w:val="006D46C8"/>
    <w:rsid w:val="007000EF"/>
    <w:rsid w:val="00706CB2"/>
    <w:rsid w:val="007114D5"/>
    <w:rsid w:val="00733F77"/>
    <w:rsid w:val="00747216"/>
    <w:rsid w:val="007642C7"/>
    <w:rsid w:val="00764DA6"/>
    <w:rsid w:val="007B24A7"/>
    <w:rsid w:val="007C1C33"/>
    <w:rsid w:val="007F35C0"/>
    <w:rsid w:val="007F52D2"/>
    <w:rsid w:val="00925983"/>
    <w:rsid w:val="0095156D"/>
    <w:rsid w:val="009537C4"/>
    <w:rsid w:val="0099138C"/>
    <w:rsid w:val="009A307B"/>
    <w:rsid w:val="009F0745"/>
    <w:rsid w:val="00A33AF6"/>
    <w:rsid w:val="00A902A4"/>
    <w:rsid w:val="00A95FCD"/>
    <w:rsid w:val="00AA5CED"/>
    <w:rsid w:val="00AE5C2A"/>
    <w:rsid w:val="00AE6707"/>
    <w:rsid w:val="00B064FE"/>
    <w:rsid w:val="00B23138"/>
    <w:rsid w:val="00B75ED3"/>
    <w:rsid w:val="00B838E9"/>
    <w:rsid w:val="00B93D8F"/>
    <w:rsid w:val="00BA1C29"/>
    <w:rsid w:val="00BE6ED9"/>
    <w:rsid w:val="00BF4322"/>
    <w:rsid w:val="00BF5814"/>
    <w:rsid w:val="00D01DB8"/>
    <w:rsid w:val="00D037F3"/>
    <w:rsid w:val="00D36EE4"/>
    <w:rsid w:val="00D570E2"/>
    <w:rsid w:val="00DB583D"/>
    <w:rsid w:val="00DC727A"/>
    <w:rsid w:val="00DF3975"/>
    <w:rsid w:val="00E2147A"/>
    <w:rsid w:val="00E53714"/>
    <w:rsid w:val="00E77CA5"/>
    <w:rsid w:val="00EA4CE4"/>
    <w:rsid w:val="00EA7200"/>
    <w:rsid w:val="00ED55B5"/>
    <w:rsid w:val="00F0636C"/>
    <w:rsid w:val="00F4230B"/>
    <w:rsid w:val="00FA2B23"/>
    <w:rsid w:val="00FA2E7D"/>
    <w:rsid w:val="00FC0070"/>
    <w:rsid w:val="00FF0B40"/>
    <w:rsid w:val="00FF0E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EE4"/>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9618B"/>
    <w:pPr>
      <w:ind w:left="720"/>
      <w:contextualSpacing/>
    </w:pPr>
  </w:style>
  <w:style w:type="character" w:styleId="Hyperlink">
    <w:name w:val="Hyperlink"/>
    <w:basedOn w:val="DefaultParagraphFont"/>
    <w:uiPriority w:val="99"/>
    <w:rsid w:val="0049618B"/>
    <w:rPr>
      <w:rFonts w:cs="Times New Roman"/>
      <w:color w:val="0000FF"/>
      <w:u w:val="single"/>
    </w:rPr>
  </w:style>
  <w:style w:type="paragraph" w:styleId="BalloonText">
    <w:name w:val="Balloon Text"/>
    <w:basedOn w:val="Normal"/>
    <w:link w:val="BalloonTextChar"/>
    <w:uiPriority w:val="99"/>
    <w:semiHidden/>
    <w:rsid w:val="005B76FE"/>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5B76FE"/>
    <w:rPr>
      <w:rFonts w:ascii="Tahoma" w:hAnsi="Tahoma" w:cs="Times New Roman"/>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ters.donntu.edu.ua/2012/iem/temnenko/library/article5.ht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133</TotalTime>
  <Pages>7</Pages>
  <Words>7793</Words>
  <Characters>4443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Admin</cp:lastModifiedBy>
  <cp:revision>8</cp:revision>
  <dcterms:created xsi:type="dcterms:W3CDTF">2018-10-22T18:01:00Z</dcterms:created>
  <dcterms:modified xsi:type="dcterms:W3CDTF">2018-10-29T21:55:00Z</dcterms:modified>
</cp:coreProperties>
</file>