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E3C" w:rsidRDefault="00313E3C" w:rsidP="00C3395F">
      <w:pPr>
        <w:autoSpaceDE w:val="0"/>
        <w:autoSpaceDN w:val="0"/>
        <w:adjustRightInd w:val="0"/>
        <w:spacing w:after="0" w:line="360" w:lineRule="auto"/>
        <w:ind w:firstLine="567"/>
        <w:jc w:val="right"/>
        <w:rPr>
          <w:rFonts w:ascii="Times New Roman" w:eastAsia="Sabon-Roman" w:hAnsi="Times New Roman"/>
          <w:b/>
          <w:sz w:val="28"/>
          <w:szCs w:val="28"/>
          <w:lang w:val="en-US"/>
        </w:rPr>
      </w:pPr>
      <w:r>
        <w:rPr>
          <w:rFonts w:ascii="Times New Roman" w:eastAsia="Sabon-Roman" w:hAnsi="Times New Roman"/>
          <w:b/>
          <w:sz w:val="28"/>
          <w:szCs w:val="28"/>
          <w:lang w:val="en-US"/>
        </w:rPr>
        <w:t xml:space="preserve">                                              Dilnoza Tadjibekova</w:t>
      </w:r>
      <w:r>
        <w:rPr>
          <w:rFonts w:ascii="Times New Roman" w:eastAsia="Sabon-Roman" w:hAnsi="Times New Roman"/>
          <w:b/>
          <w:sz w:val="28"/>
          <w:szCs w:val="28"/>
          <w:lang w:val="uk-UA"/>
        </w:rPr>
        <w:t xml:space="preserve">, </w:t>
      </w:r>
      <w:r>
        <w:rPr>
          <w:rFonts w:ascii="Times New Roman" w:eastAsia="Sabon-Roman" w:hAnsi="Times New Roman"/>
          <w:b/>
          <w:sz w:val="28"/>
          <w:szCs w:val="28"/>
          <w:lang w:val="en-US"/>
        </w:rPr>
        <w:t>Azimjon Ahmadjonov (</w:t>
      </w:r>
      <w:smartTag w:uri="urn:schemas-microsoft-com:office:smarttags" w:element="place">
        <w:smartTag w:uri="urn:schemas-microsoft-com:office:smarttags" w:element="City">
          <w:r>
            <w:rPr>
              <w:rFonts w:ascii="Times New Roman" w:eastAsia="Sabon-Roman" w:hAnsi="Times New Roman"/>
              <w:b/>
              <w:sz w:val="28"/>
              <w:szCs w:val="28"/>
              <w:lang w:val="en-US"/>
            </w:rPr>
            <w:t>Tashkent</w:t>
          </w:r>
        </w:smartTag>
        <w:r>
          <w:rPr>
            <w:rFonts w:ascii="Times New Roman" w:eastAsia="Sabon-Roman" w:hAnsi="Times New Roman"/>
            <w:b/>
            <w:sz w:val="28"/>
            <w:szCs w:val="28"/>
            <w:lang w:val="en-US"/>
          </w:rPr>
          <w:t xml:space="preserve">, </w:t>
        </w:r>
        <w:smartTag w:uri="urn:schemas-microsoft-com:office:smarttags" w:element="country-region">
          <w:r>
            <w:rPr>
              <w:rFonts w:ascii="Times New Roman" w:eastAsia="Sabon-Roman" w:hAnsi="Times New Roman"/>
              <w:b/>
              <w:sz w:val="28"/>
              <w:szCs w:val="28"/>
              <w:lang w:val="en-US"/>
            </w:rPr>
            <w:t>Uzbekistan</w:t>
          </w:r>
        </w:smartTag>
      </w:smartTag>
      <w:r>
        <w:rPr>
          <w:rFonts w:ascii="Times New Roman" w:eastAsia="Sabon-Roman" w:hAnsi="Times New Roman"/>
          <w:b/>
          <w:sz w:val="28"/>
          <w:szCs w:val="28"/>
          <w:lang w:val="en-US"/>
        </w:rPr>
        <w:t xml:space="preserve">)     </w:t>
      </w:r>
    </w:p>
    <w:p w:rsidR="00313E3C" w:rsidRDefault="00313E3C" w:rsidP="00490893">
      <w:pPr>
        <w:autoSpaceDE w:val="0"/>
        <w:autoSpaceDN w:val="0"/>
        <w:adjustRightInd w:val="0"/>
        <w:spacing w:after="0" w:line="360" w:lineRule="auto"/>
        <w:ind w:firstLine="567"/>
        <w:jc w:val="center"/>
        <w:rPr>
          <w:rFonts w:ascii="Times New Roman" w:eastAsia="Sabon-Roman" w:hAnsi="Times New Roman"/>
          <w:b/>
          <w:sz w:val="28"/>
          <w:szCs w:val="28"/>
          <w:lang w:val="en-US"/>
        </w:rPr>
      </w:pPr>
    </w:p>
    <w:p w:rsidR="00313E3C" w:rsidRDefault="00313E3C" w:rsidP="005B426F">
      <w:pPr>
        <w:autoSpaceDE w:val="0"/>
        <w:autoSpaceDN w:val="0"/>
        <w:adjustRightInd w:val="0"/>
        <w:spacing w:after="0" w:line="360" w:lineRule="auto"/>
        <w:ind w:firstLine="567"/>
        <w:jc w:val="center"/>
        <w:rPr>
          <w:rFonts w:ascii="Times New Roman" w:eastAsia="Sabon-Roman" w:hAnsi="Times New Roman"/>
          <w:b/>
          <w:sz w:val="28"/>
          <w:szCs w:val="28"/>
          <w:lang w:val="uk-UA"/>
        </w:rPr>
      </w:pPr>
      <w:r>
        <w:rPr>
          <w:rFonts w:ascii="Times New Roman" w:eastAsia="Sabon-Roman" w:hAnsi="Times New Roman"/>
          <w:b/>
          <w:sz w:val="28"/>
          <w:szCs w:val="28"/>
          <w:lang w:val="en-US"/>
        </w:rPr>
        <w:t xml:space="preserve">FINANCIAL INSTITUTIONS’ DEVELOPMENT ASSESSMENT IN THE </w:t>
      </w:r>
      <w:smartTag w:uri="urn:schemas-microsoft-com:office:smarttags" w:element="place">
        <w:smartTag w:uri="urn:schemas-microsoft-com:office:smarttags" w:element="PlaceType">
          <w:r>
            <w:rPr>
              <w:rFonts w:ascii="Times New Roman" w:eastAsia="Sabon-Roman" w:hAnsi="Times New Roman"/>
              <w:b/>
              <w:sz w:val="28"/>
              <w:szCs w:val="28"/>
              <w:lang w:val="en-US"/>
            </w:rPr>
            <w:t>REPUBLIC</w:t>
          </w:r>
        </w:smartTag>
        <w:r>
          <w:rPr>
            <w:rFonts w:ascii="Times New Roman" w:eastAsia="Sabon-Roman" w:hAnsi="Times New Roman"/>
            <w:b/>
            <w:sz w:val="28"/>
            <w:szCs w:val="28"/>
            <w:lang w:val="en-US"/>
          </w:rPr>
          <w:t xml:space="preserve"> OF </w:t>
        </w:r>
        <w:smartTag w:uri="urn:schemas-microsoft-com:office:smarttags" w:element="PlaceName">
          <w:r>
            <w:rPr>
              <w:rFonts w:ascii="Times New Roman" w:eastAsia="Sabon-Roman" w:hAnsi="Times New Roman"/>
              <w:b/>
              <w:sz w:val="28"/>
              <w:szCs w:val="28"/>
              <w:lang w:val="en-US"/>
            </w:rPr>
            <w:t>UZBEKISTAN</w:t>
          </w:r>
        </w:smartTag>
      </w:smartTag>
    </w:p>
    <w:p w:rsidR="00313E3C" w:rsidRPr="00C3395F" w:rsidRDefault="00313E3C" w:rsidP="005B426F">
      <w:pPr>
        <w:autoSpaceDE w:val="0"/>
        <w:autoSpaceDN w:val="0"/>
        <w:adjustRightInd w:val="0"/>
        <w:spacing w:after="0" w:line="360" w:lineRule="auto"/>
        <w:ind w:firstLine="567"/>
        <w:jc w:val="center"/>
        <w:rPr>
          <w:rFonts w:ascii="Times New Roman" w:eastAsia="Sabon-Roman" w:hAnsi="Times New Roman"/>
          <w:b/>
          <w:sz w:val="28"/>
          <w:szCs w:val="28"/>
          <w:lang w:val="uk-UA"/>
        </w:rPr>
      </w:pPr>
    </w:p>
    <w:p w:rsidR="00313E3C" w:rsidRPr="00402840" w:rsidRDefault="00313E3C" w:rsidP="00402840">
      <w:pPr>
        <w:autoSpaceDE w:val="0"/>
        <w:autoSpaceDN w:val="0"/>
        <w:adjustRightInd w:val="0"/>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 xml:space="preserve">Amongst transition economies </w:t>
      </w:r>
      <w:smartTag w:uri="urn:schemas-microsoft-com:office:smarttags" w:element="country-region">
        <w:smartTag w:uri="urn:schemas-microsoft-com:office:smarttags" w:element="place">
          <w:r>
            <w:rPr>
              <w:rFonts w:ascii="Times New Roman" w:hAnsi="Times New Roman"/>
              <w:sz w:val="28"/>
              <w:szCs w:val="28"/>
              <w:lang w:val="en-US"/>
            </w:rPr>
            <w:t>Uzbekistan</w:t>
          </w:r>
        </w:smartTag>
      </w:smartTag>
      <w:r>
        <w:rPr>
          <w:rFonts w:ascii="Times New Roman" w:hAnsi="Times New Roman"/>
          <w:sz w:val="28"/>
          <w:szCs w:val="28"/>
          <w:lang w:val="en-US"/>
        </w:rPr>
        <w:t xml:space="preserve"> has been performing the best practices in financial sector development based on long term development strategy through </w:t>
      </w:r>
      <w:r w:rsidRPr="006E58D1">
        <w:rPr>
          <w:rFonts w:ascii="Times New Roman" w:hAnsi="Times New Roman"/>
          <w:sz w:val="28"/>
          <w:szCs w:val="28"/>
          <w:lang w:val="en-US"/>
        </w:rPr>
        <w:t>appropriate sequencing of liberalization</w:t>
      </w:r>
      <w:r>
        <w:rPr>
          <w:rFonts w:ascii="Times New Roman" w:hAnsi="Times New Roman"/>
          <w:sz w:val="28"/>
          <w:szCs w:val="28"/>
          <w:lang w:val="en-US"/>
        </w:rPr>
        <w:t xml:space="preserve"> and</w:t>
      </w:r>
      <w:r w:rsidRPr="006E58D1">
        <w:rPr>
          <w:rFonts w:ascii="Times New Roman" w:hAnsi="Times New Roman"/>
          <w:sz w:val="28"/>
          <w:szCs w:val="28"/>
          <w:lang w:val="en-US"/>
        </w:rPr>
        <w:t xml:space="preserve"> institutional preconditions</w:t>
      </w:r>
      <w:r>
        <w:rPr>
          <w:rFonts w:ascii="Times New Roman" w:hAnsi="Times New Roman"/>
          <w:sz w:val="28"/>
          <w:szCs w:val="28"/>
          <w:lang w:val="en-US"/>
        </w:rPr>
        <w:t xml:space="preserve">. </w:t>
      </w:r>
      <w:r>
        <w:rPr>
          <w:rFonts w:ascii="Times New Roman" w:eastAsia="Sabon-Roman" w:hAnsi="Times New Roman"/>
          <w:sz w:val="28"/>
          <w:szCs w:val="28"/>
          <w:lang w:val="en-US"/>
        </w:rPr>
        <w:t xml:space="preserve">After national independence the </w:t>
      </w:r>
      <w:smartTag w:uri="urn:schemas-microsoft-com:office:smarttags" w:element="PlaceName">
        <w:smartTag w:uri="urn:schemas-microsoft-com:office:smarttags" w:element="PlaceName">
          <w:r>
            <w:rPr>
              <w:rFonts w:ascii="Times New Roman" w:eastAsia="Sabon-Roman" w:hAnsi="Times New Roman"/>
              <w:sz w:val="28"/>
              <w:szCs w:val="28"/>
              <w:lang w:val="en-US"/>
            </w:rPr>
            <w:t>Republic</w:t>
          </w:r>
        </w:smartTag>
        <w:r>
          <w:rPr>
            <w:rFonts w:ascii="Times New Roman" w:eastAsia="Sabon-Roman" w:hAnsi="Times New Roman"/>
            <w:sz w:val="28"/>
            <w:szCs w:val="28"/>
            <w:lang w:val="en-US"/>
          </w:rPr>
          <w:t xml:space="preserve"> of </w:t>
        </w:r>
        <w:smartTag w:uri="urn:schemas-microsoft-com:office:smarttags" w:element="PlaceName">
          <w:r>
            <w:rPr>
              <w:rFonts w:ascii="Times New Roman" w:eastAsia="Sabon-Roman" w:hAnsi="Times New Roman"/>
              <w:sz w:val="28"/>
              <w:szCs w:val="28"/>
              <w:lang w:val="en-US"/>
            </w:rPr>
            <w:t>Uzbekistan</w:t>
          </w:r>
        </w:smartTag>
      </w:smartTag>
      <w:r>
        <w:rPr>
          <w:rFonts w:ascii="Times New Roman" w:eastAsia="Sabon-Roman" w:hAnsi="Times New Roman"/>
          <w:sz w:val="28"/>
          <w:szCs w:val="28"/>
          <w:lang w:val="en-US"/>
        </w:rPr>
        <w:t xml:space="preserve"> accelerated the economic growth despite the difficulties in transition to market economy and reforms in ownership structure in the early years. Series of prudent reforms and modernization measures covered all sectors of economy and, as a result, led to improvement in socio-economic condition and economic profile of the country.  State support for business and financial sector played an important role in enhancing the economic condition. Financial sector development measures were a key to withstand the effects of global financial crisis. </w:t>
      </w:r>
    </w:p>
    <w:p w:rsidR="00313E3C" w:rsidRDefault="00313E3C" w:rsidP="00C70C6C">
      <w:pPr>
        <w:autoSpaceDE w:val="0"/>
        <w:autoSpaceDN w:val="0"/>
        <w:adjustRightInd w:val="0"/>
        <w:spacing w:after="0" w:line="360" w:lineRule="auto"/>
        <w:ind w:firstLine="567"/>
        <w:jc w:val="both"/>
        <w:rPr>
          <w:rFonts w:ascii="Times New Roman" w:eastAsia="Sabon-Roman" w:hAnsi="Times New Roman"/>
          <w:sz w:val="28"/>
          <w:szCs w:val="28"/>
          <w:lang w:val="en-US"/>
        </w:rPr>
      </w:pPr>
      <w:r>
        <w:rPr>
          <w:rFonts w:ascii="Times New Roman" w:eastAsia="Sabon-Roman" w:hAnsi="Times New Roman"/>
          <w:sz w:val="28"/>
          <w:szCs w:val="28"/>
          <w:lang w:val="en-US"/>
        </w:rPr>
        <w:t xml:space="preserve">The </w:t>
      </w:r>
      <w:r w:rsidRPr="00A14A7B">
        <w:rPr>
          <w:rFonts w:ascii="Times New Roman" w:eastAsia="Sabon-Roman" w:hAnsi="Times New Roman"/>
          <w:sz w:val="28"/>
          <w:szCs w:val="28"/>
          <w:lang w:val="en-US"/>
        </w:rPr>
        <w:t xml:space="preserve">financial </w:t>
      </w:r>
      <w:r>
        <w:rPr>
          <w:rFonts w:ascii="Times New Roman" w:eastAsia="Sabon-Roman" w:hAnsi="Times New Roman"/>
          <w:sz w:val="28"/>
          <w:szCs w:val="28"/>
          <w:lang w:val="en-US"/>
        </w:rPr>
        <w:t xml:space="preserve">system is divided into two categories – financial institutions and financial markets [1, p.11]. </w:t>
      </w:r>
      <w:r w:rsidRPr="00A14A7B">
        <w:rPr>
          <w:rFonts w:ascii="Times New Roman" w:eastAsia="Sabon-Roman" w:hAnsi="Times New Roman"/>
          <w:sz w:val="28"/>
          <w:szCs w:val="28"/>
          <w:lang w:val="en-US"/>
        </w:rPr>
        <w:t xml:space="preserve">Being a driving force of the national financial system </w:t>
      </w:r>
      <w:r>
        <w:rPr>
          <w:rFonts w:ascii="Times New Roman" w:eastAsia="Sabon-Roman" w:hAnsi="Times New Roman"/>
          <w:sz w:val="28"/>
          <w:szCs w:val="28"/>
          <w:lang w:val="en-US"/>
        </w:rPr>
        <w:t>financial institutions</w:t>
      </w:r>
      <w:r w:rsidRPr="00A14A7B">
        <w:rPr>
          <w:rFonts w:ascii="Times New Roman" w:eastAsia="Sabon-Roman" w:hAnsi="Times New Roman"/>
          <w:sz w:val="28"/>
          <w:szCs w:val="28"/>
          <w:lang w:val="en-US"/>
        </w:rPr>
        <w:t>, especially banks,</w:t>
      </w:r>
      <w:r>
        <w:rPr>
          <w:rFonts w:ascii="Times New Roman" w:eastAsia="Sabon-Roman" w:hAnsi="Times New Roman"/>
          <w:sz w:val="28"/>
          <w:szCs w:val="28"/>
          <w:lang w:val="en-US"/>
        </w:rPr>
        <w:t xml:space="preserve"> have a central role in the financial sector of </w:t>
      </w:r>
      <w:smartTag w:uri="urn:schemas-microsoft-com:office:smarttags" w:element="PlaceName">
        <w:r>
          <w:rPr>
            <w:rFonts w:ascii="Times New Roman" w:eastAsia="Sabon-Roman" w:hAnsi="Times New Roman"/>
            <w:sz w:val="28"/>
            <w:szCs w:val="28"/>
            <w:lang w:val="en-US"/>
          </w:rPr>
          <w:t>Uzbekistan</w:t>
        </w:r>
      </w:smartTag>
      <w:r>
        <w:rPr>
          <w:rFonts w:ascii="Times New Roman" w:eastAsia="Sabon-Roman" w:hAnsi="Times New Roman"/>
          <w:sz w:val="28"/>
          <w:szCs w:val="28"/>
          <w:lang w:val="en-US"/>
        </w:rPr>
        <w:t xml:space="preserve">. Financial institutions development has direct influence on the economic performance of businesses and individuals because of its wider coverage and inclusion in case of </w:t>
      </w:r>
      <w:smartTag w:uri="urn:schemas-microsoft-com:office:smarttags" w:element="PlaceName">
        <w:r>
          <w:rPr>
            <w:rFonts w:ascii="Times New Roman" w:eastAsia="Sabon-Roman" w:hAnsi="Times New Roman"/>
            <w:sz w:val="28"/>
            <w:szCs w:val="28"/>
            <w:lang w:val="en-US"/>
          </w:rPr>
          <w:t>Uzbekistan</w:t>
        </w:r>
      </w:smartTag>
      <w:r>
        <w:rPr>
          <w:rFonts w:ascii="Times New Roman" w:eastAsia="Sabon-Roman" w:hAnsi="Times New Roman"/>
          <w:sz w:val="28"/>
          <w:szCs w:val="28"/>
          <w:lang w:val="en-US"/>
        </w:rPr>
        <w:t xml:space="preserve">. </w:t>
      </w:r>
      <w:r w:rsidRPr="00A14A7B">
        <w:rPr>
          <w:rFonts w:ascii="Times New Roman" w:eastAsia="Sabon-Roman" w:hAnsi="Times New Roman"/>
          <w:sz w:val="28"/>
          <w:szCs w:val="28"/>
          <w:lang w:val="en-US"/>
        </w:rPr>
        <w:t xml:space="preserve"> </w:t>
      </w:r>
      <w:r>
        <w:rPr>
          <w:rFonts w:ascii="Times New Roman" w:eastAsia="Sabon-Roman" w:hAnsi="Times New Roman"/>
          <w:sz w:val="28"/>
          <w:szCs w:val="28"/>
          <w:lang w:val="en-US"/>
        </w:rPr>
        <w:t xml:space="preserve">In order to differentiate the annual conditions and determine the negative and positive changes we selected the latest two financial years and illustrated the results in table 1. We analyze development in terms of annual growth in absolute and relative numbers. </w:t>
      </w:r>
    </w:p>
    <w:p w:rsidR="00313E3C" w:rsidRDefault="00313E3C" w:rsidP="00C70C6C">
      <w:pPr>
        <w:autoSpaceDE w:val="0"/>
        <w:autoSpaceDN w:val="0"/>
        <w:adjustRightInd w:val="0"/>
        <w:spacing w:after="0" w:line="360" w:lineRule="auto"/>
        <w:ind w:firstLine="567"/>
        <w:jc w:val="both"/>
        <w:rPr>
          <w:rFonts w:ascii="Times New Roman" w:eastAsia="Sabon-Roman" w:hAnsi="Times New Roman"/>
          <w:sz w:val="28"/>
          <w:szCs w:val="28"/>
          <w:lang w:val="en-US"/>
        </w:rPr>
      </w:pPr>
      <w:r>
        <w:rPr>
          <w:rFonts w:ascii="Times New Roman" w:eastAsia="Sabon-Roman" w:hAnsi="Times New Roman"/>
          <w:sz w:val="28"/>
          <w:szCs w:val="28"/>
          <w:lang w:val="en-US"/>
        </w:rPr>
        <w:t>Banks hold the most important position in national financial system due to delivery of main financial services for all categories economic agents [2, p34]. As experts of World Bank recommended national banking system should be</w:t>
      </w:r>
      <w:r w:rsidRPr="00A14A7B">
        <w:rPr>
          <w:rFonts w:ascii="Times New Roman" w:eastAsia="Sabon-Roman" w:hAnsi="Times New Roman"/>
          <w:sz w:val="28"/>
          <w:szCs w:val="28"/>
          <w:lang w:val="en-US"/>
        </w:rPr>
        <w:t xml:space="preserve"> </w:t>
      </w:r>
      <w:r>
        <w:rPr>
          <w:rFonts w:ascii="Times New Roman" w:eastAsia="Sabon-Roman" w:hAnsi="Times New Roman"/>
          <w:sz w:val="28"/>
          <w:szCs w:val="28"/>
          <w:lang w:val="en-US"/>
        </w:rPr>
        <w:t>measured in following four broad criteria</w:t>
      </w:r>
      <w:r w:rsidRPr="00A14A7B">
        <w:rPr>
          <w:rFonts w:ascii="Times New Roman" w:eastAsia="Sabon-Roman" w:hAnsi="Times New Roman"/>
          <w:sz w:val="28"/>
          <w:szCs w:val="28"/>
          <w:lang w:val="en-US"/>
        </w:rPr>
        <w:t>: financial depth and financial incl</w:t>
      </w:r>
      <w:r>
        <w:rPr>
          <w:rFonts w:ascii="Times New Roman" w:eastAsia="Sabon-Roman" w:hAnsi="Times New Roman"/>
          <w:sz w:val="28"/>
          <w:szCs w:val="28"/>
          <w:lang w:val="en-US"/>
        </w:rPr>
        <w:t xml:space="preserve">usion, efficiency and stability [1,  p22]. </w:t>
      </w:r>
      <w:r w:rsidRPr="00A14A7B">
        <w:rPr>
          <w:rFonts w:ascii="Times New Roman" w:eastAsia="Sabon-Roman" w:hAnsi="Times New Roman"/>
          <w:sz w:val="28"/>
          <w:szCs w:val="28"/>
          <w:lang w:val="en-US"/>
        </w:rPr>
        <w:t>Financial depth characterizes financial system by measuring the size of banking system relative to the si</w:t>
      </w:r>
      <w:r>
        <w:rPr>
          <w:rFonts w:ascii="Times New Roman" w:eastAsia="Sabon-Roman" w:hAnsi="Times New Roman"/>
          <w:sz w:val="28"/>
          <w:szCs w:val="28"/>
          <w:lang w:val="en-US"/>
        </w:rPr>
        <w:t>ze of the economy. Total bank</w:t>
      </w:r>
      <w:r w:rsidRPr="00A14A7B">
        <w:rPr>
          <w:rFonts w:ascii="Times New Roman" w:eastAsia="Sabon-Roman" w:hAnsi="Times New Roman"/>
          <w:sz w:val="28"/>
          <w:szCs w:val="28"/>
          <w:lang w:val="en-US"/>
        </w:rPr>
        <w:t xml:space="preserve"> assets to GDP, deposits to GDP and provided total credit to GDP</w:t>
      </w:r>
      <w:r>
        <w:rPr>
          <w:rFonts w:ascii="Times New Roman" w:eastAsia="Sabon-Roman" w:hAnsi="Times New Roman"/>
          <w:sz w:val="28"/>
          <w:szCs w:val="28"/>
          <w:lang w:val="en-US"/>
        </w:rPr>
        <w:t xml:space="preserve"> </w:t>
      </w:r>
      <w:r w:rsidRPr="00A14A7B">
        <w:rPr>
          <w:rFonts w:ascii="Times New Roman" w:eastAsia="Sabon-Roman" w:hAnsi="Times New Roman"/>
          <w:sz w:val="28"/>
          <w:szCs w:val="28"/>
          <w:lang w:val="en-US"/>
        </w:rPr>
        <w:t xml:space="preserve">are main indicators of this criterion. </w:t>
      </w:r>
      <w:r>
        <w:rPr>
          <w:rFonts w:ascii="Times New Roman" w:eastAsia="Sabon-Roman" w:hAnsi="Times New Roman"/>
          <w:sz w:val="28"/>
          <w:szCs w:val="28"/>
          <w:lang w:val="en-US"/>
        </w:rPr>
        <w:t xml:space="preserve">As for the depth of banks in </w:t>
      </w:r>
      <w:smartTag w:uri="urn:schemas-microsoft-com:office:smarttags" w:element="PlaceName">
        <w:r>
          <w:rPr>
            <w:rFonts w:ascii="Times New Roman" w:eastAsia="Sabon-Roman" w:hAnsi="Times New Roman"/>
            <w:sz w:val="28"/>
            <w:szCs w:val="28"/>
            <w:lang w:val="en-US"/>
          </w:rPr>
          <w:t>Uzbekistan</w:t>
        </w:r>
      </w:smartTag>
      <w:r>
        <w:rPr>
          <w:rFonts w:ascii="Times New Roman" w:eastAsia="Sabon-Roman" w:hAnsi="Times New Roman"/>
          <w:sz w:val="28"/>
          <w:szCs w:val="28"/>
          <w:lang w:val="en-US"/>
        </w:rPr>
        <w:t xml:space="preserve">, all indicators increased by significant percentile or number (0, 22, 2 and 3,1 per cent respectively). </w:t>
      </w:r>
      <w:r w:rsidRPr="00A14A7B">
        <w:rPr>
          <w:rFonts w:ascii="Times New Roman" w:eastAsia="Sabon-Roman" w:hAnsi="Times New Roman"/>
          <w:sz w:val="28"/>
          <w:szCs w:val="28"/>
          <w:lang w:val="en-US"/>
        </w:rPr>
        <w:t>Access to financial services implies</w:t>
      </w:r>
      <w:r>
        <w:rPr>
          <w:rFonts w:ascii="Times New Roman" w:eastAsia="Sabon-Roman" w:hAnsi="Times New Roman"/>
          <w:sz w:val="28"/>
          <w:szCs w:val="28"/>
          <w:lang w:val="en-US"/>
        </w:rPr>
        <w:t xml:space="preserve"> the</w:t>
      </w:r>
      <w:r w:rsidRPr="00A14A7B">
        <w:rPr>
          <w:rFonts w:ascii="Times New Roman" w:eastAsia="Sabon-Roman" w:hAnsi="Times New Roman"/>
          <w:sz w:val="28"/>
          <w:szCs w:val="28"/>
          <w:lang w:val="en-US"/>
        </w:rPr>
        <w:t xml:space="preserve"> absence of obstacles to the use of these services</w:t>
      </w:r>
      <w:r>
        <w:rPr>
          <w:rFonts w:ascii="Times New Roman" w:eastAsia="Sabon-Roman" w:hAnsi="Times New Roman"/>
          <w:sz w:val="28"/>
          <w:szCs w:val="28"/>
          <w:lang w:val="en-US"/>
        </w:rPr>
        <w:t>.</w:t>
      </w:r>
      <w:r w:rsidRPr="008B3999">
        <w:rPr>
          <w:rFonts w:ascii="Times New Roman" w:eastAsia="Sabon-Roman" w:hAnsi="Times New Roman"/>
          <w:sz w:val="28"/>
          <w:szCs w:val="28"/>
          <w:lang w:val="en-US"/>
        </w:rPr>
        <w:t xml:space="preserve"> </w:t>
      </w:r>
      <w:r w:rsidRPr="00A14A7B">
        <w:rPr>
          <w:rFonts w:ascii="Times New Roman" w:eastAsia="Sabon-Roman" w:hAnsi="Times New Roman"/>
          <w:sz w:val="28"/>
          <w:szCs w:val="28"/>
          <w:lang w:val="en-US"/>
        </w:rPr>
        <w:t xml:space="preserve">Measures of banking services’ inclusion are strongly associated with economic development and it accelerates economic growth, stimulates competition, </w:t>
      </w:r>
      <w:r>
        <w:rPr>
          <w:rFonts w:ascii="Times New Roman" w:eastAsia="Sabon-Roman" w:hAnsi="Times New Roman"/>
          <w:sz w:val="28"/>
          <w:szCs w:val="28"/>
          <w:lang w:val="en-US"/>
        </w:rPr>
        <w:t>and boosts the demand for labor [2, p15].</w:t>
      </w:r>
      <w:r w:rsidRPr="00A14A7B">
        <w:rPr>
          <w:rFonts w:ascii="Times New Roman" w:eastAsia="Sabon-Roman" w:hAnsi="Times New Roman"/>
          <w:sz w:val="28"/>
          <w:szCs w:val="28"/>
          <w:lang w:val="en-US"/>
        </w:rPr>
        <w:t xml:space="preserve"> This article contains both variables that measure the use of financial services by reflecting both supply and demand as well as variables that focus more closely on the supply of financial services. These measures include </w:t>
      </w:r>
      <w:r>
        <w:rPr>
          <w:rFonts w:ascii="Times New Roman" w:eastAsia="Sabon-Roman" w:hAnsi="Times New Roman"/>
          <w:sz w:val="28"/>
          <w:szCs w:val="28"/>
          <w:lang w:val="en-US"/>
        </w:rPr>
        <w:t>total number of commercial banks (no change) number of branches and outlets</w:t>
      </w:r>
      <w:r w:rsidRPr="00A14A7B">
        <w:rPr>
          <w:rFonts w:ascii="Times New Roman" w:eastAsia="Sabon-Roman" w:hAnsi="Times New Roman"/>
          <w:sz w:val="28"/>
          <w:szCs w:val="28"/>
          <w:lang w:val="en-US"/>
        </w:rPr>
        <w:t xml:space="preserve"> </w:t>
      </w:r>
      <w:r>
        <w:rPr>
          <w:rFonts w:ascii="Times New Roman" w:eastAsia="Sabon-Roman" w:hAnsi="Times New Roman"/>
          <w:sz w:val="28"/>
          <w:szCs w:val="28"/>
          <w:lang w:val="en-US"/>
        </w:rPr>
        <w:t xml:space="preserve">(increased by 8) </w:t>
      </w:r>
      <w:r w:rsidRPr="00A14A7B">
        <w:rPr>
          <w:rFonts w:ascii="Times New Roman" w:eastAsia="Sabon-Roman" w:hAnsi="Times New Roman"/>
          <w:sz w:val="28"/>
          <w:szCs w:val="28"/>
          <w:lang w:val="en-US"/>
        </w:rPr>
        <w:t>accounts per thousand adults in commercial banks</w:t>
      </w:r>
      <w:r>
        <w:rPr>
          <w:rFonts w:ascii="Times New Roman" w:eastAsia="Sabon-Roman" w:hAnsi="Times New Roman"/>
          <w:sz w:val="28"/>
          <w:szCs w:val="28"/>
          <w:lang w:val="en-US"/>
        </w:rPr>
        <w:t xml:space="preserve"> (0,001)</w:t>
      </w:r>
      <w:r w:rsidRPr="00A14A7B">
        <w:rPr>
          <w:rFonts w:ascii="Times New Roman" w:eastAsia="Sabon-Roman" w:hAnsi="Times New Roman"/>
          <w:sz w:val="28"/>
          <w:szCs w:val="28"/>
          <w:lang w:val="en-US"/>
        </w:rPr>
        <w:t>, branches of commercial banks per 100 000 adults</w:t>
      </w:r>
      <w:r>
        <w:rPr>
          <w:rFonts w:ascii="Times New Roman" w:eastAsia="Sabon-Roman" w:hAnsi="Times New Roman"/>
          <w:sz w:val="28"/>
          <w:szCs w:val="28"/>
          <w:lang w:val="en-US"/>
        </w:rPr>
        <w:t xml:space="preserve"> (no change).</w:t>
      </w:r>
    </w:p>
    <w:p w:rsidR="00313E3C" w:rsidRDefault="00313E3C" w:rsidP="00C70C6C">
      <w:pPr>
        <w:autoSpaceDE w:val="0"/>
        <w:autoSpaceDN w:val="0"/>
        <w:adjustRightInd w:val="0"/>
        <w:spacing w:after="0" w:line="360" w:lineRule="auto"/>
        <w:ind w:firstLine="567"/>
        <w:jc w:val="both"/>
        <w:rPr>
          <w:rFonts w:ascii="Times New Roman" w:hAnsi="Times New Roman"/>
          <w:sz w:val="28"/>
          <w:szCs w:val="28"/>
          <w:lang w:val="en-US"/>
        </w:rPr>
      </w:pPr>
      <w:r>
        <w:rPr>
          <w:rFonts w:ascii="Times New Roman" w:eastAsia="Sabon-Roman" w:hAnsi="Times New Roman"/>
          <w:sz w:val="28"/>
          <w:szCs w:val="28"/>
          <w:lang w:val="en-US"/>
        </w:rPr>
        <w:t xml:space="preserve">In order to </w:t>
      </w:r>
      <w:r w:rsidRPr="00A14A7B">
        <w:rPr>
          <w:rFonts w:ascii="Times New Roman" w:eastAsia="Sabon-Roman" w:hAnsi="Times New Roman"/>
          <w:sz w:val="28"/>
          <w:szCs w:val="28"/>
          <w:lang w:val="en-US"/>
        </w:rPr>
        <w:t>perform its functions well, banking system</w:t>
      </w:r>
      <w:r w:rsidRPr="00A14A7B">
        <w:rPr>
          <w:rFonts w:ascii="Times New Roman" w:hAnsi="Times New Roman"/>
          <w:b/>
          <w:bCs/>
          <w:sz w:val="28"/>
          <w:szCs w:val="28"/>
          <w:lang w:val="en-US"/>
        </w:rPr>
        <w:t xml:space="preserve"> </w:t>
      </w:r>
      <w:r w:rsidRPr="00A14A7B">
        <w:rPr>
          <w:rFonts w:ascii="Times New Roman" w:eastAsia="Sabon-Roman" w:hAnsi="Times New Roman"/>
          <w:sz w:val="28"/>
          <w:szCs w:val="28"/>
          <w:lang w:val="en-US"/>
        </w:rPr>
        <w:t>should be efficient. The degree of stability</w:t>
      </w:r>
      <w:r w:rsidRPr="00A14A7B">
        <w:rPr>
          <w:rFonts w:ascii="Times New Roman" w:hAnsi="Times New Roman"/>
          <w:b/>
          <w:bCs/>
          <w:sz w:val="28"/>
          <w:szCs w:val="28"/>
          <w:lang w:val="en-US"/>
        </w:rPr>
        <w:t xml:space="preserve"> </w:t>
      </w:r>
      <w:r w:rsidRPr="00A14A7B">
        <w:rPr>
          <w:rFonts w:ascii="Times New Roman" w:eastAsia="Sabon-Roman" w:hAnsi="Times New Roman"/>
          <w:sz w:val="28"/>
          <w:szCs w:val="28"/>
          <w:lang w:val="en-US"/>
        </w:rPr>
        <w:t>is</w:t>
      </w:r>
      <w:r>
        <w:rPr>
          <w:rFonts w:ascii="Times New Roman" w:eastAsia="Sabon-Roman" w:hAnsi="Times New Roman"/>
          <w:sz w:val="28"/>
          <w:szCs w:val="28"/>
          <w:lang w:val="en-US"/>
        </w:rPr>
        <w:t xml:space="preserve"> also</w:t>
      </w:r>
      <w:r w:rsidRPr="00A14A7B">
        <w:rPr>
          <w:rFonts w:ascii="Times New Roman" w:eastAsia="Sabon-Roman" w:hAnsi="Times New Roman"/>
          <w:sz w:val="28"/>
          <w:szCs w:val="28"/>
          <w:lang w:val="en-US"/>
        </w:rPr>
        <w:t xml:space="preserve"> an important feature of the banking sector. Stability of banking system is probably the most important for broader</w:t>
      </w:r>
      <w:r w:rsidRPr="00A14A7B">
        <w:rPr>
          <w:rFonts w:ascii="Times New Roman" w:hAnsi="Times New Roman"/>
          <w:b/>
          <w:bCs/>
          <w:sz w:val="28"/>
          <w:szCs w:val="28"/>
          <w:lang w:val="en-US"/>
        </w:rPr>
        <w:t xml:space="preserve"> </w:t>
      </w:r>
      <w:r w:rsidRPr="00A14A7B">
        <w:rPr>
          <w:rFonts w:ascii="Times New Roman" w:eastAsia="Sabon-Roman" w:hAnsi="Times New Roman"/>
          <w:sz w:val="28"/>
          <w:szCs w:val="28"/>
          <w:lang w:val="en-US"/>
        </w:rPr>
        <w:t>macroeconomic stability by specifically</w:t>
      </w:r>
      <w:r w:rsidRPr="00A14A7B">
        <w:rPr>
          <w:rFonts w:ascii="Times New Roman" w:hAnsi="Times New Roman"/>
          <w:b/>
          <w:bCs/>
          <w:sz w:val="28"/>
          <w:szCs w:val="28"/>
          <w:lang w:val="en-US"/>
        </w:rPr>
        <w:t xml:space="preserve"> </w:t>
      </w:r>
      <w:r w:rsidRPr="00A14A7B">
        <w:rPr>
          <w:rFonts w:ascii="Times New Roman" w:eastAsia="Sabon-Roman" w:hAnsi="Times New Roman"/>
          <w:sz w:val="28"/>
          <w:szCs w:val="28"/>
          <w:lang w:val="en-US"/>
        </w:rPr>
        <w:t>measuring systemic risks. Moreover, it</w:t>
      </w:r>
      <w:r w:rsidRPr="00A14A7B">
        <w:rPr>
          <w:rFonts w:ascii="Times New Roman" w:hAnsi="Times New Roman"/>
          <w:b/>
          <w:bCs/>
          <w:sz w:val="28"/>
          <w:szCs w:val="28"/>
          <w:lang w:val="en-US"/>
        </w:rPr>
        <w:t xml:space="preserve"> </w:t>
      </w:r>
      <w:r w:rsidRPr="00A14A7B">
        <w:rPr>
          <w:rFonts w:ascii="Times New Roman" w:eastAsia="Sabon-Roman" w:hAnsi="Times New Roman"/>
          <w:sz w:val="28"/>
          <w:szCs w:val="28"/>
          <w:lang w:val="en-US"/>
        </w:rPr>
        <w:t>is closely interlinked with the broader process</w:t>
      </w:r>
      <w:r w:rsidRPr="00A14A7B">
        <w:rPr>
          <w:rFonts w:ascii="Times New Roman" w:hAnsi="Times New Roman"/>
          <w:b/>
          <w:bCs/>
          <w:sz w:val="28"/>
          <w:szCs w:val="28"/>
          <w:lang w:val="en-US"/>
        </w:rPr>
        <w:t xml:space="preserve"> </w:t>
      </w:r>
      <w:r w:rsidRPr="00A14A7B">
        <w:rPr>
          <w:rFonts w:ascii="Times New Roman" w:eastAsia="Sabon-Roman" w:hAnsi="Times New Roman"/>
          <w:sz w:val="28"/>
          <w:szCs w:val="28"/>
          <w:lang w:val="en-US"/>
        </w:rPr>
        <w:t>of financial development</w:t>
      </w:r>
      <w:r>
        <w:rPr>
          <w:rFonts w:ascii="Times New Roman" w:eastAsia="Sabon-Roman" w:hAnsi="Times New Roman"/>
          <w:sz w:val="28"/>
          <w:szCs w:val="28"/>
          <w:lang w:val="en-US"/>
        </w:rPr>
        <w:t xml:space="preserve">. </w:t>
      </w:r>
      <w:r w:rsidRPr="00A14A7B">
        <w:rPr>
          <w:rFonts w:ascii="Times New Roman" w:eastAsia="Sabon-Roman" w:hAnsi="Times New Roman"/>
          <w:sz w:val="28"/>
          <w:szCs w:val="28"/>
          <w:lang w:val="en-US"/>
        </w:rPr>
        <w:t>C</w:t>
      </w:r>
      <w:r>
        <w:rPr>
          <w:rFonts w:ascii="Times New Roman" w:eastAsia="Sabon-Roman" w:hAnsi="Times New Roman"/>
          <w:sz w:val="28"/>
          <w:szCs w:val="28"/>
          <w:lang w:val="en-US"/>
        </w:rPr>
        <w:t>apital adequacy ratio, asset quality ratio and liquidity ratio can be the main indicators of stability.</w:t>
      </w:r>
      <w:r w:rsidRPr="00A14A7B">
        <w:rPr>
          <w:rFonts w:ascii="Times New Roman" w:eastAsia="Sabon-Roman" w:hAnsi="Times New Roman"/>
          <w:sz w:val="28"/>
          <w:szCs w:val="28"/>
          <w:lang w:val="en-US"/>
        </w:rPr>
        <w:t xml:space="preserve"> Regulating and </w:t>
      </w:r>
      <w:r>
        <w:rPr>
          <w:rFonts w:ascii="Times New Roman" w:eastAsia="Sabon-Roman" w:hAnsi="Times New Roman"/>
          <w:sz w:val="28"/>
          <w:szCs w:val="28"/>
          <w:lang w:val="en-US"/>
        </w:rPr>
        <w:t>setting the requirements for</w:t>
      </w:r>
      <w:r w:rsidRPr="00A14A7B">
        <w:rPr>
          <w:rFonts w:ascii="Times New Roman" w:eastAsia="Sabon-Roman" w:hAnsi="Times New Roman"/>
          <w:sz w:val="28"/>
          <w:szCs w:val="28"/>
          <w:lang w:val="en-US"/>
        </w:rPr>
        <w:t xml:space="preserve"> performance of banking systems around the world are conducted by Basel Committee on Banking Supervision.</w:t>
      </w:r>
      <w:r>
        <w:rPr>
          <w:rFonts w:ascii="Times New Roman" w:eastAsia="Sabon-Roman" w:hAnsi="Times New Roman"/>
          <w:sz w:val="28"/>
          <w:szCs w:val="28"/>
          <w:lang w:val="en-US"/>
        </w:rPr>
        <w:t xml:space="preserve"> According to </w:t>
      </w:r>
      <w:smartTag w:uri="urn:schemas-microsoft-com:office:smarttags" w:element="PlaceName">
        <w:r>
          <w:rPr>
            <w:rFonts w:ascii="Times New Roman" w:eastAsia="Sabon-Roman" w:hAnsi="Times New Roman"/>
            <w:sz w:val="28"/>
            <w:szCs w:val="28"/>
            <w:lang w:val="en-US"/>
          </w:rPr>
          <w:t>Basel</w:t>
        </w:r>
      </w:smartTag>
      <w:r>
        <w:rPr>
          <w:rFonts w:ascii="Times New Roman" w:eastAsia="Sabon-Roman" w:hAnsi="Times New Roman"/>
          <w:sz w:val="28"/>
          <w:szCs w:val="28"/>
          <w:lang w:val="en-US"/>
        </w:rPr>
        <w:t xml:space="preserve"> regulations capital adequacy and liquidity ratios must be at least 8 and 30 per cent correspondently. In </w:t>
      </w:r>
      <w:smartTag w:uri="urn:schemas-microsoft-com:office:smarttags" w:element="PlaceName">
        <w:r>
          <w:rPr>
            <w:rFonts w:ascii="Times New Roman" w:eastAsia="Sabon-Roman" w:hAnsi="Times New Roman"/>
            <w:sz w:val="28"/>
            <w:szCs w:val="28"/>
            <w:lang w:val="en-US"/>
          </w:rPr>
          <w:t>Uzbekistan</w:t>
        </w:r>
      </w:smartTag>
      <w:r>
        <w:rPr>
          <w:rFonts w:ascii="Times New Roman" w:eastAsia="Sabon-Roman" w:hAnsi="Times New Roman"/>
          <w:sz w:val="28"/>
          <w:szCs w:val="28"/>
          <w:lang w:val="en-US"/>
        </w:rPr>
        <w:t xml:space="preserve"> these indicators are 3 and 2,2 times (24,3 and 65,0 per cent) higher than required rate. It is clear that banking system stability of </w:t>
      </w:r>
      <w:smartTag w:uri="urn:schemas-microsoft-com:office:smarttags" w:element="PlaceName">
        <w:r>
          <w:rPr>
            <w:rFonts w:ascii="Times New Roman" w:eastAsia="Sabon-Roman" w:hAnsi="Times New Roman"/>
            <w:sz w:val="28"/>
            <w:szCs w:val="28"/>
            <w:lang w:val="en-US"/>
          </w:rPr>
          <w:t>Uzbekistan</w:t>
        </w:r>
      </w:smartTag>
      <w:r>
        <w:rPr>
          <w:rFonts w:ascii="Times New Roman" w:eastAsia="Sabon-Roman" w:hAnsi="Times New Roman"/>
          <w:sz w:val="28"/>
          <w:szCs w:val="28"/>
          <w:lang w:val="en-US"/>
        </w:rPr>
        <w:t xml:space="preserve"> is several times higher than world average in post crisis recovery period.</w:t>
      </w:r>
    </w:p>
    <w:p w:rsidR="00313E3C" w:rsidRDefault="00313E3C" w:rsidP="003D0D81">
      <w:pPr>
        <w:autoSpaceDE w:val="0"/>
        <w:autoSpaceDN w:val="0"/>
        <w:adjustRightInd w:val="0"/>
        <w:spacing w:after="0" w:line="360" w:lineRule="auto"/>
        <w:ind w:firstLine="567"/>
        <w:jc w:val="both"/>
        <w:rPr>
          <w:rFonts w:ascii="Times New Roman" w:eastAsia="Sabon-Roman" w:hAnsi="Times New Roman"/>
          <w:sz w:val="28"/>
          <w:szCs w:val="28"/>
          <w:lang w:val="en-US"/>
        </w:rPr>
      </w:pPr>
      <w:r>
        <w:rPr>
          <w:rFonts w:ascii="Times New Roman" w:eastAsia="Sabon-Roman" w:hAnsi="Times New Roman"/>
          <w:sz w:val="28"/>
          <w:szCs w:val="28"/>
          <w:lang w:val="en-US"/>
        </w:rPr>
        <w:t xml:space="preserve">Non-bank financial institutions also have been strengthening their position in financial system. Especially insurance and leasing operations extend their horizon and offer wide range of services to customers due to strong competition among insurance and leasing companies. </w:t>
      </w:r>
      <w:r w:rsidRPr="00FD3D8A">
        <w:rPr>
          <w:rFonts w:ascii="Times New Roman" w:eastAsia="Sabon-Roman" w:hAnsi="Times New Roman"/>
          <w:sz w:val="28"/>
          <w:szCs w:val="28"/>
          <w:lang w:val="en-US"/>
        </w:rPr>
        <w:t>Insurance acts as a stabilizer of the economic and social situation in th</w:t>
      </w:r>
      <w:r>
        <w:rPr>
          <w:rFonts w:ascii="Times New Roman" w:eastAsia="Sabon-Roman" w:hAnsi="Times New Roman"/>
          <w:sz w:val="28"/>
          <w:szCs w:val="28"/>
          <w:lang w:val="en-US"/>
        </w:rPr>
        <w:t>e country and as part of financial system</w:t>
      </w:r>
      <w:r w:rsidRPr="00FD3D8A">
        <w:rPr>
          <w:rFonts w:ascii="Times New Roman" w:eastAsia="Sabon-Roman" w:hAnsi="Times New Roman"/>
          <w:sz w:val="28"/>
          <w:szCs w:val="28"/>
          <w:lang w:val="en-US"/>
        </w:rPr>
        <w:t>.</w:t>
      </w:r>
      <w:r>
        <w:rPr>
          <w:rFonts w:ascii="Times New Roman" w:eastAsia="Sabon-Roman" w:hAnsi="Times New Roman"/>
          <w:sz w:val="28"/>
          <w:szCs w:val="28"/>
          <w:lang w:val="en-US"/>
        </w:rPr>
        <w:t xml:space="preserve"> Insurance companies serve as the main providers of risk minimization and financial safety. In case of </w:t>
      </w:r>
      <w:smartTag w:uri="urn:schemas-microsoft-com:office:smarttags" w:element="PlaceName">
        <w:r>
          <w:rPr>
            <w:rFonts w:ascii="Times New Roman" w:eastAsia="Sabon-Roman" w:hAnsi="Times New Roman"/>
            <w:sz w:val="28"/>
            <w:szCs w:val="28"/>
            <w:lang w:val="en-US"/>
          </w:rPr>
          <w:t>Uzbekistan</w:t>
        </w:r>
      </w:smartTag>
      <w:r>
        <w:rPr>
          <w:rFonts w:ascii="Times New Roman" w:eastAsia="Sabon-Roman" w:hAnsi="Times New Roman"/>
          <w:sz w:val="28"/>
          <w:szCs w:val="28"/>
          <w:lang w:val="en-US"/>
        </w:rPr>
        <w:t xml:space="preserve"> insurance is a progressively developing sub-sector of financial system. New types of insurance services and growing number of insurance companies have been improving the quality of service through competitive insurance market. In quantitive terms we can measure the insurance market development with </w:t>
      </w:r>
      <w:r>
        <w:rPr>
          <w:rFonts w:ascii="Times New Roman" w:hAnsi="Times New Roman"/>
          <w:color w:val="000000"/>
          <w:sz w:val="28"/>
          <w:szCs w:val="28"/>
          <w:lang w:val="en-US" w:eastAsia="ru-RU"/>
        </w:rPr>
        <w:t xml:space="preserve">annual change in the </w:t>
      </w:r>
      <w:r w:rsidRPr="00D4031C">
        <w:rPr>
          <w:rFonts w:ascii="Times New Roman" w:hAnsi="Times New Roman"/>
          <w:color w:val="000000"/>
          <w:sz w:val="28"/>
          <w:szCs w:val="28"/>
          <w:lang w:val="en-US" w:eastAsia="ru-RU"/>
        </w:rPr>
        <w:t>number of insurance companies</w:t>
      </w:r>
      <w:r>
        <w:rPr>
          <w:rFonts w:ascii="Times New Roman" w:hAnsi="Times New Roman"/>
          <w:color w:val="000000"/>
          <w:sz w:val="28"/>
          <w:szCs w:val="28"/>
          <w:lang w:val="en-US" w:eastAsia="ru-RU"/>
        </w:rPr>
        <w:t xml:space="preserve"> (increased by 4), authorized capital of insurance companies (10,1 per cent), total investment of insurance companies to </w:t>
      </w:r>
      <w:r w:rsidRPr="00BB605D">
        <w:rPr>
          <w:rFonts w:ascii="Times New Roman" w:hAnsi="Times New Roman"/>
          <w:color w:val="000000"/>
          <w:sz w:val="28"/>
          <w:szCs w:val="28"/>
          <w:lang w:val="en-US" w:eastAsia="ru-RU"/>
        </w:rPr>
        <w:t>GDP</w:t>
      </w:r>
      <w:r>
        <w:rPr>
          <w:rFonts w:ascii="Times New Roman" w:hAnsi="Times New Roman"/>
          <w:color w:val="000000"/>
          <w:sz w:val="28"/>
          <w:szCs w:val="28"/>
          <w:lang w:val="en-US" w:eastAsia="ru-RU"/>
        </w:rPr>
        <w:t xml:space="preserve"> (-0,1 per cent) and </w:t>
      </w:r>
      <w:r w:rsidRPr="003D0D81">
        <w:rPr>
          <w:rFonts w:ascii="Times New Roman" w:hAnsi="Times New Roman"/>
          <w:color w:val="000000"/>
          <w:sz w:val="28"/>
          <w:szCs w:val="28"/>
          <w:lang w:val="en-US" w:eastAsia="ru-RU"/>
        </w:rPr>
        <w:t>gross premiums</w:t>
      </w:r>
      <w:r>
        <w:rPr>
          <w:rFonts w:ascii="Times New Roman" w:hAnsi="Times New Roman"/>
          <w:color w:val="000000"/>
          <w:sz w:val="28"/>
          <w:szCs w:val="28"/>
          <w:lang w:val="en-US" w:eastAsia="ru-RU"/>
        </w:rPr>
        <w:t xml:space="preserve"> to </w:t>
      </w:r>
      <w:r w:rsidRPr="003D0D81">
        <w:rPr>
          <w:rFonts w:ascii="Times New Roman" w:hAnsi="Times New Roman"/>
          <w:color w:val="000000"/>
          <w:sz w:val="28"/>
          <w:szCs w:val="28"/>
          <w:lang w:val="en-US" w:eastAsia="ru-RU"/>
        </w:rPr>
        <w:t>GDP</w:t>
      </w:r>
      <w:r>
        <w:rPr>
          <w:rFonts w:ascii="Times New Roman" w:hAnsi="Times New Roman"/>
          <w:color w:val="000000"/>
          <w:sz w:val="28"/>
          <w:szCs w:val="28"/>
          <w:lang w:val="en-US" w:eastAsia="ru-RU"/>
        </w:rPr>
        <w:t xml:space="preserve"> (0,02 per cent) [5]. These indicators show the scope and strength of insurance as well as the stance of consumer-provider relations. </w:t>
      </w:r>
    </w:p>
    <w:p w:rsidR="00313E3C" w:rsidRPr="006368C9" w:rsidRDefault="00313E3C" w:rsidP="006368C9">
      <w:pPr>
        <w:autoSpaceDE w:val="0"/>
        <w:autoSpaceDN w:val="0"/>
        <w:adjustRightInd w:val="0"/>
        <w:spacing w:after="0" w:line="360" w:lineRule="auto"/>
        <w:ind w:firstLine="567"/>
        <w:jc w:val="both"/>
        <w:rPr>
          <w:rFonts w:ascii="Times New Roman" w:eastAsia="Sabon-Roman" w:hAnsi="Times New Roman"/>
          <w:sz w:val="28"/>
          <w:szCs w:val="28"/>
          <w:lang w:val="en-US"/>
        </w:rPr>
      </w:pPr>
      <w:r w:rsidRPr="00382E59">
        <w:rPr>
          <w:rFonts w:ascii="Times New Roman" w:eastAsia="Sabon-Roman" w:hAnsi="Times New Roman"/>
          <w:sz w:val="28"/>
          <w:szCs w:val="28"/>
          <w:lang w:val="en-US"/>
        </w:rPr>
        <w:t>Leasing is one of the most progressive methods of the logistics of production, opening the company access to advanced technology. Analysis of international experience shows that in recent years, leasing operations have become an integral part o</w:t>
      </w:r>
      <w:r>
        <w:rPr>
          <w:rFonts w:ascii="Times New Roman" w:eastAsia="Sabon-Roman" w:hAnsi="Times New Roman"/>
          <w:sz w:val="28"/>
          <w:szCs w:val="28"/>
          <w:lang w:val="en-US"/>
        </w:rPr>
        <w:t>f the economy in many countries.</w:t>
      </w:r>
      <w:r w:rsidRPr="00382E59">
        <w:rPr>
          <w:rFonts w:ascii="Times New Roman" w:eastAsia="Sabon-Roman" w:hAnsi="Times New Roman"/>
          <w:sz w:val="28"/>
          <w:szCs w:val="28"/>
          <w:lang w:val="en-US"/>
        </w:rPr>
        <w:t xml:space="preserve"> Currently 25-32% of investments in developed countries and about 13-16% of the investment in developing countries account for leases</w:t>
      </w:r>
      <w:r>
        <w:rPr>
          <w:rFonts w:ascii="Times New Roman" w:eastAsia="Sabon-Roman" w:hAnsi="Times New Roman"/>
          <w:sz w:val="28"/>
          <w:szCs w:val="28"/>
          <w:lang w:val="en-US"/>
        </w:rPr>
        <w:t xml:space="preserve">. Leasing becomes widespread across all regions and sectors of national economy by providing businesses with easier access to technologies and other forms of real estate. Leasing system development assessment bases on simple indicators such as </w:t>
      </w:r>
      <w:r w:rsidRPr="000A7833">
        <w:rPr>
          <w:rFonts w:ascii="Times New Roman" w:hAnsi="Times New Roman"/>
          <w:color w:val="000000"/>
          <w:sz w:val="28"/>
          <w:szCs w:val="28"/>
          <w:lang w:val="en-US" w:eastAsia="ru-RU"/>
        </w:rPr>
        <w:t>number of leasing companies</w:t>
      </w:r>
      <w:r>
        <w:rPr>
          <w:rFonts w:ascii="Times New Roman" w:hAnsi="Times New Roman"/>
          <w:color w:val="000000"/>
          <w:sz w:val="28"/>
          <w:szCs w:val="28"/>
          <w:lang w:val="en-US" w:eastAsia="ru-RU"/>
        </w:rPr>
        <w:t xml:space="preserve"> (no change), t</w:t>
      </w:r>
      <w:r w:rsidRPr="00BB605D">
        <w:rPr>
          <w:rFonts w:ascii="Times New Roman" w:hAnsi="Times New Roman"/>
          <w:color w:val="000000"/>
          <w:sz w:val="28"/>
          <w:szCs w:val="28"/>
          <w:lang w:val="en-US" w:eastAsia="ru-RU"/>
        </w:rPr>
        <w:t>otal value of leasing contracts/number of leasing con</w:t>
      </w:r>
      <w:r>
        <w:rPr>
          <w:rFonts w:ascii="Times New Roman" w:hAnsi="Times New Roman"/>
          <w:color w:val="000000"/>
          <w:sz w:val="28"/>
          <w:szCs w:val="28"/>
          <w:lang w:val="en-US" w:eastAsia="ru-RU"/>
        </w:rPr>
        <w:t>t</w:t>
      </w:r>
      <w:r w:rsidRPr="00BB605D">
        <w:rPr>
          <w:rFonts w:ascii="Times New Roman" w:hAnsi="Times New Roman"/>
          <w:color w:val="000000"/>
          <w:sz w:val="28"/>
          <w:szCs w:val="28"/>
          <w:lang w:val="en-US" w:eastAsia="ru-RU"/>
        </w:rPr>
        <w:t>racts</w:t>
      </w:r>
      <w:r>
        <w:rPr>
          <w:rFonts w:ascii="Times New Roman" w:hAnsi="Times New Roman"/>
          <w:color w:val="000000"/>
          <w:sz w:val="28"/>
          <w:szCs w:val="28"/>
          <w:lang w:val="en-US" w:eastAsia="ru-RU"/>
        </w:rPr>
        <w:t xml:space="preserve"> (42,7 per cent), </w:t>
      </w:r>
      <w:r w:rsidRPr="00BB605D">
        <w:rPr>
          <w:rFonts w:ascii="Times New Roman" w:hAnsi="Times New Roman"/>
          <w:color w:val="000000"/>
          <w:sz w:val="28"/>
          <w:szCs w:val="28"/>
          <w:lang w:val="en-US" w:eastAsia="ru-RU"/>
        </w:rPr>
        <w:t>portfolio value of leasing operations</w:t>
      </w:r>
      <w:r>
        <w:rPr>
          <w:rFonts w:ascii="Times New Roman" w:hAnsi="Times New Roman"/>
          <w:color w:val="000000"/>
          <w:sz w:val="28"/>
          <w:szCs w:val="28"/>
          <w:lang w:val="en-US" w:eastAsia="ru-RU"/>
        </w:rPr>
        <w:t xml:space="preserve"> ( 16,5 per cent), share of leasing in capital investments (0,1 per cent) and share of leasing in GDP (0,1 per cent).</w:t>
      </w:r>
      <w:r>
        <w:rPr>
          <w:rFonts w:ascii="Times New Roman" w:eastAsia="Sabon-Roman" w:hAnsi="Times New Roman"/>
          <w:sz w:val="28"/>
          <w:szCs w:val="28"/>
          <w:lang w:val="en-US"/>
        </w:rPr>
        <w:t xml:space="preserve"> In the last decade leasing operations and deals grew significantly both in number and coverage. Holding a strong position in financial system,</w:t>
      </w:r>
      <w:r w:rsidRPr="00974B46">
        <w:rPr>
          <w:rFonts w:ascii="Times New Roman" w:eastAsia="Sabon-Roman" w:hAnsi="Times New Roman"/>
          <w:sz w:val="28"/>
          <w:szCs w:val="28"/>
          <w:lang w:val="en-US"/>
        </w:rPr>
        <w:t xml:space="preserve"> 99 </w:t>
      </w:r>
      <w:r>
        <w:rPr>
          <w:rFonts w:ascii="Times New Roman" w:eastAsia="Sabon-Roman" w:hAnsi="Times New Roman"/>
          <w:sz w:val="28"/>
          <w:szCs w:val="28"/>
          <w:lang w:val="en-US"/>
        </w:rPr>
        <w:t xml:space="preserve">legal entities (24 commercial banks and 75 leasing companies) leased 805,2 billion Uzbek soums (thereinafter UZS) which is 36 percent higher than in 2012. Total portfolio value of lease contracts increased by 16,5 percent and reached 1 511 billion UZS [6]. It is considerable point that leasing services are mainly offered to construction companies, farmers and agricultural producers which really need for new technologies and know-hows in order to improve efficiency and business performance. </w:t>
      </w:r>
    </w:p>
    <w:tbl>
      <w:tblPr>
        <w:tblW w:w="94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2"/>
        <w:gridCol w:w="4223"/>
        <w:gridCol w:w="1139"/>
        <w:gridCol w:w="1139"/>
        <w:gridCol w:w="1283"/>
      </w:tblGrid>
      <w:tr w:rsidR="00313E3C" w:rsidRPr="00C3395F" w:rsidTr="002437C8">
        <w:trPr>
          <w:trHeight w:val="698"/>
        </w:trPr>
        <w:tc>
          <w:tcPr>
            <w:tcW w:w="9416" w:type="dxa"/>
            <w:gridSpan w:val="5"/>
            <w:tcBorders>
              <w:top w:val="nil"/>
              <w:left w:val="nil"/>
              <w:right w:val="nil"/>
            </w:tcBorders>
            <w:noWrap/>
            <w:vAlign w:val="bottom"/>
          </w:tcPr>
          <w:p w:rsidR="00313E3C" w:rsidRPr="00EB68C3" w:rsidRDefault="00313E3C" w:rsidP="0018202C">
            <w:pPr>
              <w:spacing w:after="0" w:line="240" w:lineRule="auto"/>
              <w:jc w:val="center"/>
              <w:rPr>
                <w:rFonts w:ascii="Times New Roman" w:hAnsi="Times New Roman"/>
                <w:b/>
                <w:color w:val="000000"/>
                <w:sz w:val="28"/>
                <w:szCs w:val="28"/>
                <w:lang w:val="en-US" w:eastAsia="ru-RU"/>
              </w:rPr>
            </w:pPr>
            <w:r>
              <w:rPr>
                <w:rFonts w:ascii="Times New Roman" w:hAnsi="Times New Roman"/>
                <w:b/>
                <w:color w:val="000000"/>
                <w:sz w:val="28"/>
                <w:szCs w:val="28"/>
                <w:lang w:val="en-US" w:eastAsia="ru-RU"/>
              </w:rPr>
              <w:t xml:space="preserve">Table 1. </w:t>
            </w:r>
            <w:r w:rsidRPr="00BB605D">
              <w:rPr>
                <w:rFonts w:ascii="Times New Roman" w:hAnsi="Times New Roman"/>
                <w:b/>
                <w:color w:val="000000"/>
                <w:sz w:val="28"/>
                <w:szCs w:val="28"/>
                <w:lang w:val="en-US" w:eastAsia="ru-RU"/>
              </w:rPr>
              <w:t>Sectoral indicators of financial development</w:t>
            </w:r>
          </w:p>
        </w:tc>
      </w:tr>
      <w:tr w:rsidR="00313E3C" w:rsidRPr="00126951" w:rsidTr="002437C8">
        <w:trPr>
          <w:trHeight w:val="380"/>
        </w:trPr>
        <w:tc>
          <w:tcPr>
            <w:tcW w:w="1632" w:type="dxa"/>
            <w:noWrap/>
            <w:vAlign w:val="bottom"/>
          </w:tcPr>
          <w:p w:rsidR="00313E3C" w:rsidRPr="00BB605D" w:rsidRDefault="00313E3C" w:rsidP="0018202C">
            <w:pPr>
              <w:spacing w:after="0" w:line="240" w:lineRule="auto"/>
              <w:rPr>
                <w:rFonts w:ascii="Times New Roman" w:hAnsi="Times New Roman"/>
                <w:b/>
                <w:color w:val="000000"/>
                <w:sz w:val="28"/>
                <w:szCs w:val="28"/>
                <w:lang w:eastAsia="ru-RU"/>
              </w:rPr>
            </w:pPr>
            <w:r w:rsidRPr="00BB605D">
              <w:rPr>
                <w:rFonts w:ascii="Times New Roman" w:hAnsi="Times New Roman"/>
                <w:b/>
                <w:color w:val="000000"/>
                <w:sz w:val="28"/>
                <w:szCs w:val="28"/>
                <w:lang w:eastAsia="ru-RU"/>
              </w:rPr>
              <w:t>Sub-sector</w:t>
            </w:r>
          </w:p>
        </w:tc>
        <w:tc>
          <w:tcPr>
            <w:tcW w:w="4223" w:type="dxa"/>
            <w:noWrap/>
            <w:vAlign w:val="bottom"/>
          </w:tcPr>
          <w:p w:rsidR="00313E3C" w:rsidRPr="00BB605D" w:rsidRDefault="00313E3C" w:rsidP="0018202C">
            <w:pPr>
              <w:spacing w:after="0" w:line="240" w:lineRule="auto"/>
              <w:rPr>
                <w:rFonts w:ascii="Times New Roman" w:hAnsi="Times New Roman"/>
                <w:b/>
                <w:color w:val="000000"/>
                <w:sz w:val="28"/>
                <w:szCs w:val="28"/>
                <w:lang w:eastAsia="ru-RU"/>
              </w:rPr>
            </w:pPr>
            <w:r w:rsidRPr="00BB605D">
              <w:rPr>
                <w:rFonts w:ascii="Times New Roman" w:hAnsi="Times New Roman"/>
                <w:b/>
                <w:color w:val="000000"/>
                <w:sz w:val="28"/>
                <w:szCs w:val="28"/>
                <w:lang w:eastAsia="ru-RU"/>
              </w:rPr>
              <w:t>Indicator</w:t>
            </w:r>
          </w:p>
        </w:tc>
        <w:tc>
          <w:tcPr>
            <w:tcW w:w="1139" w:type="dxa"/>
            <w:noWrap/>
            <w:vAlign w:val="center"/>
          </w:tcPr>
          <w:p w:rsidR="00313E3C" w:rsidRPr="00BB605D" w:rsidRDefault="00313E3C" w:rsidP="0018202C">
            <w:pPr>
              <w:spacing w:after="0" w:line="240" w:lineRule="auto"/>
              <w:jc w:val="center"/>
              <w:rPr>
                <w:rFonts w:ascii="Times New Roman" w:hAnsi="Times New Roman"/>
                <w:b/>
                <w:color w:val="000000"/>
                <w:sz w:val="28"/>
                <w:szCs w:val="28"/>
                <w:lang w:eastAsia="ru-RU"/>
              </w:rPr>
            </w:pPr>
            <w:r w:rsidRPr="00BB605D">
              <w:rPr>
                <w:rFonts w:ascii="Times New Roman" w:hAnsi="Times New Roman"/>
                <w:b/>
                <w:color w:val="000000"/>
                <w:sz w:val="28"/>
                <w:szCs w:val="28"/>
                <w:lang w:eastAsia="ru-RU"/>
              </w:rPr>
              <w:t>2012</w:t>
            </w:r>
          </w:p>
        </w:tc>
        <w:tc>
          <w:tcPr>
            <w:tcW w:w="1139" w:type="dxa"/>
            <w:noWrap/>
            <w:vAlign w:val="center"/>
          </w:tcPr>
          <w:p w:rsidR="00313E3C" w:rsidRPr="00BB605D" w:rsidRDefault="00313E3C" w:rsidP="0018202C">
            <w:pPr>
              <w:spacing w:after="0" w:line="240" w:lineRule="auto"/>
              <w:jc w:val="center"/>
              <w:rPr>
                <w:rFonts w:ascii="Times New Roman" w:hAnsi="Times New Roman"/>
                <w:b/>
                <w:color w:val="000000"/>
                <w:sz w:val="28"/>
                <w:szCs w:val="28"/>
                <w:lang w:eastAsia="ru-RU"/>
              </w:rPr>
            </w:pPr>
            <w:r w:rsidRPr="00BB605D">
              <w:rPr>
                <w:rFonts w:ascii="Times New Roman" w:hAnsi="Times New Roman"/>
                <w:b/>
                <w:color w:val="000000"/>
                <w:sz w:val="28"/>
                <w:szCs w:val="28"/>
                <w:lang w:eastAsia="ru-RU"/>
              </w:rPr>
              <w:t>2013</w:t>
            </w:r>
          </w:p>
        </w:tc>
        <w:tc>
          <w:tcPr>
            <w:tcW w:w="1283" w:type="dxa"/>
            <w:vAlign w:val="center"/>
          </w:tcPr>
          <w:p w:rsidR="00313E3C" w:rsidRPr="00BB605D" w:rsidRDefault="00313E3C" w:rsidP="0018202C">
            <w:pPr>
              <w:spacing w:after="0" w:line="240" w:lineRule="auto"/>
              <w:jc w:val="center"/>
              <w:rPr>
                <w:rFonts w:ascii="Times New Roman" w:hAnsi="Times New Roman"/>
                <w:b/>
                <w:color w:val="000000"/>
                <w:sz w:val="28"/>
                <w:szCs w:val="28"/>
                <w:lang w:val="en-US" w:eastAsia="ru-RU"/>
              </w:rPr>
            </w:pPr>
            <w:r w:rsidRPr="00BB605D">
              <w:rPr>
                <w:rFonts w:ascii="Times New Roman" w:hAnsi="Times New Roman"/>
                <w:b/>
                <w:color w:val="000000"/>
                <w:sz w:val="28"/>
                <w:szCs w:val="28"/>
                <w:lang w:val="en-US" w:eastAsia="ru-RU"/>
              </w:rPr>
              <w:t>Change</w:t>
            </w:r>
          </w:p>
        </w:tc>
      </w:tr>
      <w:tr w:rsidR="00313E3C" w:rsidRPr="00126951" w:rsidTr="0092473F">
        <w:trPr>
          <w:trHeight w:val="380"/>
        </w:trPr>
        <w:tc>
          <w:tcPr>
            <w:tcW w:w="1632" w:type="dxa"/>
            <w:vMerge w:val="restart"/>
            <w:noWrap/>
            <w:vAlign w:val="center"/>
          </w:tcPr>
          <w:p w:rsidR="00313E3C" w:rsidRPr="00BB605D" w:rsidRDefault="00313E3C" w:rsidP="0018202C">
            <w:pPr>
              <w:spacing w:after="0" w:line="240" w:lineRule="auto"/>
              <w:jc w:val="center"/>
              <w:rPr>
                <w:rFonts w:ascii="Times New Roman" w:hAnsi="Times New Roman"/>
                <w:color w:val="000000"/>
                <w:sz w:val="28"/>
                <w:szCs w:val="28"/>
                <w:lang w:eastAsia="ru-RU"/>
              </w:rPr>
            </w:pPr>
            <w:r w:rsidRPr="00BB605D">
              <w:rPr>
                <w:rFonts w:ascii="Times New Roman" w:hAnsi="Times New Roman"/>
                <w:color w:val="000000"/>
                <w:sz w:val="28"/>
                <w:szCs w:val="28"/>
                <w:lang w:eastAsia="ru-RU"/>
              </w:rPr>
              <w:t>Banking</w:t>
            </w:r>
          </w:p>
        </w:tc>
        <w:tc>
          <w:tcPr>
            <w:tcW w:w="4223" w:type="dxa"/>
            <w:noWrap/>
            <w:vAlign w:val="bottom"/>
          </w:tcPr>
          <w:p w:rsidR="00313E3C" w:rsidRPr="00B17BAC" w:rsidRDefault="00313E3C" w:rsidP="0018202C">
            <w:pPr>
              <w:spacing w:after="0" w:line="240" w:lineRule="auto"/>
              <w:rPr>
                <w:rFonts w:ascii="Times New Roman" w:hAnsi="Times New Roman"/>
                <w:color w:val="000000"/>
                <w:sz w:val="28"/>
                <w:szCs w:val="28"/>
                <w:lang w:val="en-US" w:eastAsia="ru-RU"/>
              </w:rPr>
            </w:pPr>
            <w:r w:rsidRPr="00B17BAC">
              <w:rPr>
                <w:rFonts w:ascii="Times New Roman" w:hAnsi="Times New Roman"/>
                <w:color w:val="000000"/>
                <w:sz w:val="28"/>
                <w:szCs w:val="28"/>
                <w:lang w:val="en-US" w:eastAsia="ru-RU"/>
              </w:rPr>
              <w:t xml:space="preserve">Total number of </w:t>
            </w:r>
            <w:r>
              <w:rPr>
                <w:rFonts w:ascii="Times New Roman" w:hAnsi="Times New Roman"/>
                <w:color w:val="000000"/>
                <w:sz w:val="28"/>
                <w:szCs w:val="28"/>
                <w:lang w:val="en-US" w:eastAsia="ru-RU"/>
              </w:rPr>
              <w:t xml:space="preserve">commercial </w:t>
            </w:r>
            <w:r w:rsidRPr="00B17BAC">
              <w:rPr>
                <w:rFonts w:ascii="Times New Roman" w:hAnsi="Times New Roman"/>
                <w:color w:val="000000"/>
                <w:sz w:val="28"/>
                <w:szCs w:val="28"/>
                <w:lang w:val="en-US" w:eastAsia="ru-RU"/>
              </w:rPr>
              <w:t>banks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29</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29</w:t>
            </w:r>
          </w:p>
        </w:tc>
        <w:tc>
          <w:tcPr>
            <w:tcW w:w="1283" w:type="dxa"/>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sidRPr="00BB605D">
              <w:rPr>
                <w:rFonts w:ascii="Times New Roman" w:hAnsi="Times New Roman"/>
                <w:color w:val="000000"/>
                <w:sz w:val="28"/>
                <w:szCs w:val="28"/>
                <w:lang w:val="en-US" w:eastAsia="ru-RU"/>
              </w:rPr>
              <w:t>Number of branches and outlets</w:t>
            </w:r>
            <w:r>
              <w:rPr>
                <w:rFonts w:ascii="Times New Roman" w:hAnsi="Times New Roman"/>
                <w:color w:val="000000"/>
                <w:sz w:val="28"/>
                <w:szCs w:val="28"/>
                <w:lang w:val="en-US" w:eastAsia="ru-RU"/>
              </w:rPr>
              <w:t xml:space="preserve"> of commercial banks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829</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837</w:t>
            </w:r>
          </w:p>
        </w:tc>
        <w:tc>
          <w:tcPr>
            <w:tcW w:w="1283" w:type="dxa"/>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8</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sidRPr="00BB605D">
              <w:rPr>
                <w:rFonts w:ascii="Times New Roman" w:hAnsi="Times New Roman"/>
                <w:color w:val="000000"/>
                <w:sz w:val="28"/>
                <w:szCs w:val="28"/>
                <w:lang w:val="en-US" w:eastAsia="ru-RU"/>
              </w:rPr>
              <w:t>Branches</w:t>
            </w:r>
            <w:r>
              <w:rPr>
                <w:rFonts w:ascii="Times New Roman" w:hAnsi="Times New Roman"/>
                <w:color w:val="000000"/>
                <w:sz w:val="28"/>
                <w:szCs w:val="28"/>
                <w:lang w:val="en-US" w:eastAsia="ru-RU"/>
              </w:rPr>
              <w:t xml:space="preserve"> of commercial banks</w:t>
            </w:r>
            <w:r w:rsidRPr="00BB605D">
              <w:rPr>
                <w:rFonts w:ascii="Times New Roman" w:hAnsi="Times New Roman"/>
                <w:color w:val="000000"/>
                <w:sz w:val="28"/>
                <w:szCs w:val="28"/>
                <w:lang w:val="en-US" w:eastAsia="ru-RU"/>
              </w:rPr>
              <w:t xml:space="preserve"> per 100 000 adults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49,7</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49,7</w:t>
            </w:r>
          </w:p>
        </w:tc>
        <w:tc>
          <w:tcPr>
            <w:tcW w:w="1283" w:type="dxa"/>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Banking accounts per capita in commercial banks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1,027</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1,028</w:t>
            </w:r>
          </w:p>
        </w:tc>
        <w:tc>
          <w:tcPr>
            <w:tcW w:w="1283" w:type="dxa"/>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0,001</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Total deposits in commercial banks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18200</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26100</w:t>
            </w:r>
          </w:p>
        </w:tc>
        <w:tc>
          <w:tcPr>
            <w:tcW w:w="1283" w:type="dxa"/>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43,4%</w:t>
            </w:r>
          </w:p>
        </w:tc>
      </w:tr>
      <w:tr w:rsidR="00313E3C" w:rsidRPr="00126951" w:rsidTr="0092473F">
        <w:trPr>
          <w:trHeight w:val="380"/>
        </w:trPr>
        <w:tc>
          <w:tcPr>
            <w:tcW w:w="1632" w:type="dxa"/>
            <w:vMerge/>
            <w:noWrap/>
            <w:vAlign w:val="bottom"/>
          </w:tcPr>
          <w:p w:rsidR="00313E3C" w:rsidRPr="00EB68C3"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Pr="00340594" w:rsidRDefault="00313E3C" w:rsidP="0018202C">
            <w:pPr>
              <w:spacing w:after="0" w:line="240" w:lineRule="auto"/>
              <w:rPr>
                <w:rFonts w:ascii="Times New Roman" w:hAnsi="Times New Roman"/>
                <w:color w:val="000000"/>
                <w:sz w:val="28"/>
                <w:szCs w:val="28"/>
                <w:lang w:val="en-US" w:eastAsia="ru-RU"/>
              </w:rPr>
            </w:pPr>
            <w:r w:rsidRPr="00BB605D">
              <w:rPr>
                <w:rFonts w:ascii="Times New Roman" w:hAnsi="Times New Roman"/>
                <w:color w:val="000000"/>
                <w:sz w:val="28"/>
                <w:szCs w:val="28"/>
                <w:lang w:eastAsia="ru-RU"/>
              </w:rPr>
              <w:t>Bank deposits/GDP</w:t>
            </w:r>
            <w:r>
              <w:rPr>
                <w:rFonts w:ascii="Times New Roman" w:hAnsi="Times New Roman"/>
                <w:color w:val="000000"/>
                <w:sz w:val="28"/>
                <w:szCs w:val="28"/>
                <w:lang w:val="en-US" w:eastAsia="ru-RU"/>
              </w:rPr>
              <w:t xml:space="preserve"> (%)</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18,8</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21,9</w:t>
            </w:r>
          </w:p>
        </w:tc>
        <w:tc>
          <w:tcPr>
            <w:tcW w:w="1283" w:type="dxa"/>
            <w:vAlign w:val="center"/>
          </w:tcPr>
          <w:p w:rsidR="00313E3C" w:rsidRPr="00A16965"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3,1</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Total bank assets billion (UZS)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35744</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43868</w:t>
            </w:r>
          </w:p>
        </w:tc>
        <w:tc>
          <w:tcPr>
            <w:tcW w:w="1283" w:type="dxa"/>
            <w:vAlign w:val="center"/>
          </w:tcPr>
          <w:p w:rsidR="00313E3C" w:rsidRPr="00A16965"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22,2 %</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eastAsia="ru-RU"/>
              </w:rPr>
            </w:pPr>
          </w:p>
        </w:tc>
        <w:tc>
          <w:tcPr>
            <w:tcW w:w="4223" w:type="dxa"/>
            <w:noWrap/>
            <w:vAlign w:val="bottom"/>
          </w:tcPr>
          <w:p w:rsidR="00313E3C" w:rsidRPr="00340594"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Total b</w:t>
            </w:r>
            <w:r w:rsidRPr="00BB605D">
              <w:rPr>
                <w:rFonts w:ascii="Times New Roman" w:hAnsi="Times New Roman"/>
                <w:color w:val="000000"/>
                <w:sz w:val="28"/>
                <w:szCs w:val="28"/>
                <w:lang w:eastAsia="ru-RU"/>
              </w:rPr>
              <w:t>ank assets/GDP</w:t>
            </w:r>
            <w:r>
              <w:rPr>
                <w:rFonts w:ascii="Times New Roman" w:hAnsi="Times New Roman"/>
                <w:color w:val="000000"/>
                <w:sz w:val="28"/>
                <w:szCs w:val="28"/>
                <w:lang w:val="en-US" w:eastAsia="ru-RU"/>
              </w:rPr>
              <w:t xml:space="preserve"> (%)</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37</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37</w:t>
            </w:r>
          </w:p>
        </w:tc>
        <w:tc>
          <w:tcPr>
            <w:tcW w:w="1283" w:type="dxa"/>
            <w:vAlign w:val="center"/>
          </w:tcPr>
          <w:p w:rsidR="00313E3C" w:rsidRPr="00A16965"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eastAsia="ru-RU"/>
              </w:rPr>
            </w:pPr>
          </w:p>
        </w:tc>
        <w:tc>
          <w:tcPr>
            <w:tcW w:w="4223" w:type="dxa"/>
            <w:noWrap/>
            <w:vAlign w:val="bottom"/>
          </w:tcPr>
          <w:p w:rsidR="00313E3C" w:rsidRPr="0082191A"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Total credits of commercial banks</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20392</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26530</w:t>
            </w:r>
          </w:p>
        </w:tc>
        <w:tc>
          <w:tcPr>
            <w:tcW w:w="1283" w:type="dxa"/>
            <w:vAlign w:val="center"/>
          </w:tcPr>
          <w:p w:rsidR="00313E3C" w:rsidRPr="0082191A"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30,1%</w:t>
            </w:r>
          </w:p>
        </w:tc>
      </w:tr>
      <w:tr w:rsidR="00313E3C" w:rsidRPr="00126951" w:rsidTr="0092473F">
        <w:trPr>
          <w:trHeight w:val="380"/>
        </w:trPr>
        <w:tc>
          <w:tcPr>
            <w:tcW w:w="1632" w:type="dxa"/>
            <w:vMerge/>
            <w:noWrap/>
            <w:vAlign w:val="bottom"/>
          </w:tcPr>
          <w:p w:rsidR="00313E3C" w:rsidRPr="0082191A"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Pr="00EB68C3"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Total credits of commercial banks/GDP (%)</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21,1</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22,3</w:t>
            </w:r>
          </w:p>
        </w:tc>
        <w:tc>
          <w:tcPr>
            <w:tcW w:w="1283" w:type="dxa"/>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2,2</w:t>
            </w:r>
          </w:p>
        </w:tc>
      </w:tr>
      <w:tr w:rsidR="00313E3C" w:rsidRPr="00126951" w:rsidTr="0092473F">
        <w:trPr>
          <w:trHeight w:val="380"/>
        </w:trPr>
        <w:tc>
          <w:tcPr>
            <w:tcW w:w="1632" w:type="dxa"/>
            <w:vMerge/>
            <w:noWrap/>
            <w:vAlign w:val="bottom"/>
          </w:tcPr>
          <w:p w:rsidR="00313E3C" w:rsidRPr="003C61C5"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Capital adequacy ratio</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24,3</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24,3</w:t>
            </w:r>
          </w:p>
        </w:tc>
        <w:tc>
          <w:tcPr>
            <w:tcW w:w="1283" w:type="dxa"/>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w:t>
            </w:r>
          </w:p>
        </w:tc>
      </w:tr>
      <w:tr w:rsidR="00313E3C" w:rsidRPr="00126951" w:rsidTr="0092473F">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eastAsia="ru-RU"/>
              </w:rPr>
            </w:pPr>
          </w:p>
        </w:tc>
        <w:tc>
          <w:tcPr>
            <w:tcW w:w="4223" w:type="dxa"/>
            <w:noWrap/>
            <w:vAlign w:val="bottom"/>
          </w:tcPr>
          <w:p w:rsidR="00313E3C"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Liquidity ratio</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65,5</w:t>
            </w:r>
          </w:p>
        </w:tc>
        <w:tc>
          <w:tcPr>
            <w:tcW w:w="1139" w:type="dxa"/>
            <w:noWrap/>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65,0</w:t>
            </w:r>
          </w:p>
        </w:tc>
        <w:tc>
          <w:tcPr>
            <w:tcW w:w="1283" w:type="dxa"/>
            <w:vAlign w:val="center"/>
          </w:tcPr>
          <w:p w:rsidR="00313E3C" w:rsidRPr="00EB68C3"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-0,5</w:t>
            </w:r>
          </w:p>
        </w:tc>
      </w:tr>
      <w:tr w:rsidR="00313E3C" w:rsidRPr="00126951" w:rsidTr="0092473F">
        <w:trPr>
          <w:trHeight w:val="380"/>
        </w:trPr>
        <w:tc>
          <w:tcPr>
            <w:tcW w:w="1632" w:type="dxa"/>
            <w:vMerge w:val="restart"/>
            <w:noWrap/>
            <w:vAlign w:val="center"/>
          </w:tcPr>
          <w:p w:rsidR="00313E3C" w:rsidRPr="00BB605D" w:rsidRDefault="00313E3C" w:rsidP="0018202C">
            <w:pPr>
              <w:spacing w:after="0" w:line="240" w:lineRule="auto"/>
              <w:jc w:val="center"/>
              <w:rPr>
                <w:rFonts w:ascii="Times New Roman" w:hAnsi="Times New Roman"/>
                <w:color w:val="000000"/>
                <w:sz w:val="28"/>
                <w:szCs w:val="28"/>
                <w:lang w:eastAsia="ru-RU"/>
              </w:rPr>
            </w:pPr>
            <w:r w:rsidRPr="00BB605D">
              <w:rPr>
                <w:rFonts w:ascii="Times New Roman" w:hAnsi="Times New Roman"/>
                <w:color w:val="000000"/>
                <w:sz w:val="28"/>
                <w:szCs w:val="28"/>
                <w:lang w:eastAsia="ru-RU"/>
              </w:rPr>
              <w:t>Insurance</w:t>
            </w: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eastAsia="ru-RU"/>
              </w:rPr>
            </w:pPr>
            <w:r w:rsidRPr="00BB605D">
              <w:rPr>
                <w:rFonts w:ascii="Times New Roman" w:hAnsi="Times New Roman"/>
                <w:color w:val="000000"/>
                <w:sz w:val="28"/>
                <w:szCs w:val="28"/>
                <w:lang w:eastAsia="ru-RU"/>
              </w:rPr>
              <w:t>Number of insurance companies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31</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35</w:t>
            </w:r>
          </w:p>
        </w:tc>
        <w:tc>
          <w:tcPr>
            <w:tcW w:w="1283" w:type="dxa"/>
            <w:vAlign w:val="center"/>
          </w:tcPr>
          <w:p w:rsidR="00313E3C" w:rsidRPr="00E20079"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4</w:t>
            </w:r>
          </w:p>
        </w:tc>
      </w:tr>
      <w:tr w:rsidR="00313E3C" w:rsidRPr="00126951" w:rsidTr="002437C8">
        <w:trPr>
          <w:trHeight w:val="380"/>
        </w:trPr>
        <w:tc>
          <w:tcPr>
            <w:tcW w:w="1632" w:type="dxa"/>
            <w:vMerge/>
            <w:noWrap/>
            <w:vAlign w:val="center"/>
          </w:tcPr>
          <w:p w:rsidR="00313E3C" w:rsidRPr="00BB605D" w:rsidRDefault="00313E3C" w:rsidP="0018202C">
            <w:pPr>
              <w:spacing w:after="0" w:line="240" w:lineRule="auto"/>
              <w:jc w:val="center"/>
              <w:rPr>
                <w:rFonts w:ascii="Times New Roman" w:hAnsi="Times New Roman"/>
                <w:color w:val="000000"/>
                <w:sz w:val="28"/>
                <w:szCs w:val="28"/>
                <w:lang w:eastAsia="ru-RU"/>
              </w:rPr>
            </w:pPr>
          </w:p>
        </w:tc>
        <w:tc>
          <w:tcPr>
            <w:tcW w:w="4223" w:type="dxa"/>
            <w:noWrap/>
            <w:vAlign w:val="bottom"/>
          </w:tcPr>
          <w:p w:rsidR="00313E3C" w:rsidRPr="00382E59"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Authorised capital of insurance companies</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260,86</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287,28</w:t>
            </w:r>
          </w:p>
        </w:tc>
        <w:tc>
          <w:tcPr>
            <w:tcW w:w="1283" w:type="dxa"/>
            <w:vAlign w:val="center"/>
          </w:tcPr>
          <w:p w:rsidR="00313E3C" w:rsidRPr="00382E59"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10,1%</w:t>
            </w:r>
          </w:p>
        </w:tc>
      </w:tr>
      <w:tr w:rsidR="00313E3C" w:rsidRPr="00126951" w:rsidTr="002437C8">
        <w:trPr>
          <w:trHeight w:val="380"/>
        </w:trPr>
        <w:tc>
          <w:tcPr>
            <w:tcW w:w="1632" w:type="dxa"/>
            <w:vMerge/>
            <w:noWrap/>
            <w:vAlign w:val="bottom"/>
          </w:tcPr>
          <w:p w:rsidR="00313E3C" w:rsidRPr="00382E59"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Total investment of insurance companies</w:t>
            </w:r>
            <w:r w:rsidRPr="00BB605D">
              <w:rPr>
                <w:rFonts w:ascii="Times New Roman" w:hAnsi="Times New Roman"/>
                <w:color w:val="000000"/>
                <w:sz w:val="28"/>
                <w:szCs w:val="28"/>
                <w:lang w:val="en-US" w:eastAsia="ru-RU"/>
              </w:rPr>
              <w:t>/GDP</w:t>
            </w:r>
            <w:r>
              <w:rPr>
                <w:rFonts w:ascii="Times New Roman" w:hAnsi="Times New Roman"/>
                <w:color w:val="000000"/>
                <w:sz w:val="28"/>
                <w:szCs w:val="28"/>
                <w:lang w:val="en-US" w:eastAsia="ru-RU"/>
              </w:rPr>
              <w:t xml:space="preserve"> (%)</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0,45</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0,44</w:t>
            </w:r>
          </w:p>
        </w:tc>
        <w:tc>
          <w:tcPr>
            <w:tcW w:w="1283" w:type="dxa"/>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-0,01</w:t>
            </w:r>
          </w:p>
        </w:tc>
      </w:tr>
      <w:tr w:rsidR="00313E3C" w:rsidRPr="00126951" w:rsidTr="002437C8">
        <w:trPr>
          <w:trHeight w:val="380"/>
        </w:trPr>
        <w:tc>
          <w:tcPr>
            <w:tcW w:w="1632" w:type="dxa"/>
            <w:vMerge/>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sidRPr="00BB605D">
              <w:rPr>
                <w:rFonts w:ascii="Times New Roman" w:hAnsi="Times New Roman"/>
                <w:color w:val="000000"/>
                <w:sz w:val="28"/>
                <w:szCs w:val="28"/>
                <w:lang w:eastAsia="ru-RU"/>
              </w:rPr>
              <w:t>Gross premiums/GDP</w:t>
            </w:r>
            <w:r>
              <w:rPr>
                <w:rFonts w:ascii="Times New Roman" w:hAnsi="Times New Roman"/>
                <w:color w:val="000000"/>
                <w:sz w:val="28"/>
                <w:szCs w:val="28"/>
                <w:lang w:val="en-US" w:eastAsia="ru-RU"/>
              </w:rPr>
              <w:t xml:space="preserve"> (%)</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0,26</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0,28</w:t>
            </w:r>
          </w:p>
        </w:tc>
        <w:tc>
          <w:tcPr>
            <w:tcW w:w="1283" w:type="dxa"/>
            <w:vAlign w:val="center"/>
          </w:tcPr>
          <w:p w:rsidR="00313E3C" w:rsidRPr="00340594"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0,02</w:t>
            </w:r>
          </w:p>
        </w:tc>
      </w:tr>
      <w:tr w:rsidR="00313E3C" w:rsidRPr="00126951" w:rsidTr="0004152B">
        <w:trPr>
          <w:trHeight w:val="486"/>
        </w:trPr>
        <w:tc>
          <w:tcPr>
            <w:tcW w:w="1632" w:type="dxa"/>
            <w:vMerge w:val="restart"/>
            <w:noWrap/>
            <w:vAlign w:val="center"/>
          </w:tcPr>
          <w:p w:rsidR="00313E3C" w:rsidRPr="00BB605D" w:rsidRDefault="00313E3C" w:rsidP="0018202C">
            <w:pPr>
              <w:spacing w:after="0" w:line="240" w:lineRule="auto"/>
              <w:jc w:val="center"/>
              <w:rPr>
                <w:rFonts w:ascii="Times New Roman" w:hAnsi="Times New Roman"/>
                <w:color w:val="000000"/>
                <w:sz w:val="28"/>
                <w:szCs w:val="28"/>
                <w:lang w:eastAsia="ru-RU"/>
              </w:rPr>
            </w:pPr>
            <w:r w:rsidRPr="00BB605D">
              <w:rPr>
                <w:rFonts w:ascii="Times New Roman" w:hAnsi="Times New Roman"/>
                <w:color w:val="000000"/>
                <w:sz w:val="28"/>
                <w:szCs w:val="28"/>
                <w:lang w:eastAsia="ru-RU"/>
              </w:rPr>
              <w:t>Leasing</w:t>
            </w: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eastAsia="ru-RU"/>
              </w:rPr>
            </w:pPr>
            <w:r w:rsidRPr="00BB605D">
              <w:rPr>
                <w:rFonts w:ascii="Times New Roman" w:hAnsi="Times New Roman"/>
                <w:color w:val="000000"/>
                <w:sz w:val="28"/>
                <w:szCs w:val="28"/>
                <w:lang w:eastAsia="ru-RU"/>
              </w:rPr>
              <w:t>Number of leasing companies</w:t>
            </w:r>
          </w:p>
        </w:tc>
        <w:tc>
          <w:tcPr>
            <w:tcW w:w="1139" w:type="dxa"/>
            <w:noWrap/>
            <w:vAlign w:val="center"/>
          </w:tcPr>
          <w:p w:rsidR="00313E3C" w:rsidRPr="00417C4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99</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99</w:t>
            </w:r>
          </w:p>
        </w:tc>
        <w:tc>
          <w:tcPr>
            <w:tcW w:w="1283" w:type="dxa"/>
            <w:vAlign w:val="center"/>
          </w:tcPr>
          <w:p w:rsidR="00313E3C" w:rsidRPr="00417C4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w:t>
            </w:r>
          </w:p>
        </w:tc>
      </w:tr>
      <w:tr w:rsidR="00313E3C" w:rsidRPr="00126951" w:rsidTr="002437C8">
        <w:trPr>
          <w:trHeight w:val="380"/>
        </w:trPr>
        <w:tc>
          <w:tcPr>
            <w:tcW w:w="1632" w:type="dxa"/>
            <w:vMerge/>
            <w:noWrap/>
            <w:vAlign w:val="center"/>
          </w:tcPr>
          <w:p w:rsidR="00313E3C" w:rsidRPr="00BB605D" w:rsidRDefault="00313E3C" w:rsidP="0018202C">
            <w:pPr>
              <w:spacing w:after="0" w:line="240" w:lineRule="auto"/>
              <w:jc w:val="center"/>
              <w:rPr>
                <w:rFonts w:ascii="Times New Roman" w:hAnsi="Times New Roman"/>
                <w:color w:val="000000"/>
                <w:sz w:val="28"/>
                <w:szCs w:val="28"/>
                <w:lang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sidRPr="00BB605D">
              <w:rPr>
                <w:rFonts w:ascii="Times New Roman" w:hAnsi="Times New Roman"/>
                <w:color w:val="000000"/>
                <w:sz w:val="28"/>
                <w:szCs w:val="28"/>
                <w:lang w:val="en-US" w:eastAsia="ru-RU"/>
              </w:rPr>
              <w:t>Total value of leasing contracts/number of leasing con</w:t>
            </w:r>
            <w:r>
              <w:rPr>
                <w:rFonts w:ascii="Times New Roman" w:hAnsi="Times New Roman"/>
                <w:color w:val="000000"/>
                <w:sz w:val="28"/>
                <w:szCs w:val="28"/>
                <w:lang w:val="en-US" w:eastAsia="ru-RU"/>
              </w:rPr>
              <w:t>t</w:t>
            </w:r>
            <w:r w:rsidRPr="00BB605D">
              <w:rPr>
                <w:rFonts w:ascii="Times New Roman" w:hAnsi="Times New Roman"/>
                <w:color w:val="000000"/>
                <w:sz w:val="28"/>
                <w:szCs w:val="28"/>
                <w:lang w:val="en-US" w:eastAsia="ru-RU"/>
              </w:rPr>
              <w:t>racts</w:t>
            </w:r>
            <w:r>
              <w:rPr>
                <w:rFonts w:ascii="Times New Roman" w:hAnsi="Times New Roman"/>
                <w:color w:val="000000"/>
                <w:sz w:val="28"/>
                <w:szCs w:val="28"/>
                <w:lang w:val="en-US" w:eastAsia="ru-RU"/>
              </w:rPr>
              <w:t xml:space="preserve"> (million UZS)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84,0</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119,9</w:t>
            </w:r>
          </w:p>
        </w:tc>
        <w:tc>
          <w:tcPr>
            <w:tcW w:w="1283" w:type="dxa"/>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42,7%</w:t>
            </w:r>
          </w:p>
        </w:tc>
      </w:tr>
      <w:tr w:rsidR="00313E3C" w:rsidRPr="00126951" w:rsidTr="002437C8">
        <w:trPr>
          <w:trHeight w:val="380"/>
        </w:trPr>
        <w:tc>
          <w:tcPr>
            <w:tcW w:w="1632" w:type="dxa"/>
            <w:vMerge/>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sidRPr="00BB605D">
              <w:rPr>
                <w:rFonts w:ascii="Times New Roman" w:hAnsi="Times New Roman"/>
                <w:color w:val="000000"/>
                <w:sz w:val="28"/>
                <w:szCs w:val="28"/>
                <w:lang w:val="en-US" w:eastAsia="ru-RU"/>
              </w:rPr>
              <w:t>Portfolio value of leasing operations</w:t>
            </w:r>
            <w:r>
              <w:rPr>
                <w:rFonts w:ascii="Times New Roman" w:hAnsi="Times New Roman"/>
                <w:color w:val="000000"/>
                <w:sz w:val="28"/>
                <w:szCs w:val="28"/>
                <w:lang w:val="en-US" w:eastAsia="ru-RU"/>
              </w:rPr>
              <w:t xml:space="preserve"> (billion UZS)</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1297</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1511</w:t>
            </w:r>
          </w:p>
        </w:tc>
        <w:tc>
          <w:tcPr>
            <w:tcW w:w="1283" w:type="dxa"/>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16,5%</w:t>
            </w:r>
          </w:p>
        </w:tc>
      </w:tr>
      <w:tr w:rsidR="00313E3C" w:rsidRPr="00126951" w:rsidTr="002437C8">
        <w:trPr>
          <w:trHeight w:val="380"/>
        </w:trPr>
        <w:tc>
          <w:tcPr>
            <w:tcW w:w="1632" w:type="dxa"/>
            <w:vMerge/>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Share of leasing in capital investments, (%)</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2,7</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2,8</w:t>
            </w:r>
          </w:p>
        </w:tc>
        <w:tc>
          <w:tcPr>
            <w:tcW w:w="1283" w:type="dxa"/>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0,1</w:t>
            </w:r>
          </w:p>
        </w:tc>
      </w:tr>
      <w:tr w:rsidR="00313E3C" w:rsidRPr="00126951" w:rsidTr="002437C8">
        <w:trPr>
          <w:trHeight w:val="380"/>
        </w:trPr>
        <w:tc>
          <w:tcPr>
            <w:tcW w:w="1632" w:type="dxa"/>
            <w:vMerge/>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p>
        </w:tc>
        <w:tc>
          <w:tcPr>
            <w:tcW w:w="4223" w:type="dxa"/>
            <w:noWrap/>
            <w:vAlign w:val="bottom"/>
          </w:tcPr>
          <w:p w:rsidR="00313E3C" w:rsidRPr="00BB605D" w:rsidRDefault="00313E3C" w:rsidP="0018202C">
            <w:pPr>
              <w:spacing w:after="0" w:line="240" w:lineRule="auto"/>
              <w:rPr>
                <w:rFonts w:ascii="Times New Roman" w:hAnsi="Times New Roman"/>
                <w:color w:val="000000"/>
                <w:sz w:val="28"/>
                <w:szCs w:val="28"/>
                <w:lang w:val="en-US" w:eastAsia="ru-RU"/>
              </w:rPr>
            </w:pPr>
            <w:r>
              <w:rPr>
                <w:rFonts w:ascii="Times New Roman" w:hAnsi="Times New Roman"/>
                <w:color w:val="000000"/>
                <w:sz w:val="28"/>
                <w:szCs w:val="28"/>
                <w:lang w:val="en-US" w:eastAsia="ru-RU"/>
              </w:rPr>
              <w:t>Share of leasing in GDP (%)</w:t>
            </w:r>
          </w:p>
        </w:tc>
        <w:tc>
          <w:tcPr>
            <w:tcW w:w="1139" w:type="dxa"/>
            <w:noWrap/>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0,6</w:t>
            </w:r>
          </w:p>
        </w:tc>
        <w:tc>
          <w:tcPr>
            <w:tcW w:w="1139" w:type="dxa"/>
            <w:noWrap/>
            <w:vAlign w:val="center"/>
          </w:tcPr>
          <w:p w:rsidR="00313E3C"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0,7</w:t>
            </w:r>
          </w:p>
        </w:tc>
        <w:tc>
          <w:tcPr>
            <w:tcW w:w="1283" w:type="dxa"/>
            <w:vAlign w:val="center"/>
          </w:tcPr>
          <w:p w:rsidR="00313E3C" w:rsidRPr="00BB605D" w:rsidRDefault="00313E3C" w:rsidP="0018202C">
            <w:pPr>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val="en-US" w:eastAsia="ru-RU"/>
              </w:rPr>
              <w:t>0,1</w:t>
            </w:r>
          </w:p>
        </w:tc>
      </w:tr>
      <w:tr w:rsidR="00313E3C" w:rsidRPr="00C3395F" w:rsidTr="002437C8">
        <w:trPr>
          <w:trHeight w:val="380"/>
        </w:trPr>
        <w:tc>
          <w:tcPr>
            <w:tcW w:w="9416" w:type="dxa"/>
            <w:gridSpan w:val="5"/>
            <w:tcBorders>
              <w:top w:val="nil"/>
              <w:left w:val="nil"/>
              <w:bottom w:val="nil"/>
              <w:right w:val="nil"/>
            </w:tcBorders>
            <w:noWrap/>
            <w:vAlign w:val="center"/>
          </w:tcPr>
          <w:p w:rsidR="00313E3C" w:rsidRPr="00BB605D" w:rsidRDefault="00313E3C" w:rsidP="0018202C">
            <w:pPr>
              <w:spacing w:after="0" w:line="240" w:lineRule="auto"/>
              <w:rPr>
                <w:rFonts w:ascii="Times New Roman" w:hAnsi="Times New Roman"/>
                <w:color w:val="000000"/>
                <w:sz w:val="20"/>
                <w:szCs w:val="20"/>
                <w:lang w:val="en-US" w:eastAsia="ru-RU"/>
              </w:rPr>
            </w:pPr>
            <w:r w:rsidRPr="00BB605D">
              <w:rPr>
                <w:rFonts w:ascii="Times New Roman" w:hAnsi="Times New Roman"/>
                <w:color w:val="000000"/>
                <w:sz w:val="20"/>
                <w:szCs w:val="20"/>
                <w:lang w:val="en-US" w:eastAsia="ru-RU"/>
              </w:rPr>
              <w:t xml:space="preserve">Source: Author’s compilations and calculations based on the official data </w:t>
            </w:r>
            <w:r>
              <w:rPr>
                <w:rFonts w:ascii="Times New Roman" w:hAnsi="Times New Roman"/>
                <w:color w:val="000000"/>
                <w:sz w:val="20"/>
                <w:szCs w:val="20"/>
                <w:lang w:val="en-US" w:eastAsia="ru-RU"/>
              </w:rPr>
              <w:t>released</w:t>
            </w:r>
            <w:r w:rsidRPr="00BB605D">
              <w:rPr>
                <w:rFonts w:ascii="Times New Roman" w:hAnsi="Times New Roman"/>
                <w:color w:val="000000"/>
                <w:sz w:val="20"/>
                <w:szCs w:val="20"/>
                <w:lang w:val="en-US" w:eastAsia="ru-RU"/>
              </w:rPr>
              <w:t xml:space="preserve"> by correspondent government authorities</w:t>
            </w:r>
            <w:r>
              <w:rPr>
                <w:rFonts w:ascii="Times New Roman" w:hAnsi="Times New Roman"/>
                <w:color w:val="000000"/>
                <w:sz w:val="20"/>
                <w:szCs w:val="20"/>
                <w:lang w:val="en-US" w:eastAsia="ru-RU"/>
              </w:rPr>
              <w:t>.</w:t>
            </w:r>
          </w:p>
        </w:tc>
      </w:tr>
    </w:tbl>
    <w:p w:rsidR="00313E3C" w:rsidRDefault="00313E3C" w:rsidP="0092473F">
      <w:pPr>
        <w:tabs>
          <w:tab w:val="left" w:pos="1035"/>
        </w:tabs>
        <w:rPr>
          <w:lang w:val="en-US"/>
        </w:rPr>
      </w:pPr>
    </w:p>
    <w:p w:rsidR="00313E3C" w:rsidRDefault="00313E3C" w:rsidP="00C74BAA">
      <w:pPr>
        <w:jc w:val="both"/>
        <w:rPr>
          <w:rFonts w:ascii="Times New Roman" w:hAnsi="Times New Roman"/>
          <w:color w:val="000000"/>
          <w:sz w:val="28"/>
          <w:szCs w:val="28"/>
          <w:lang w:val="en-US" w:eastAsia="ru-RU"/>
        </w:rPr>
      </w:pPr>
      <w:r>
        <w:rPr>
          <w:lang w:val="en-US"/>
        </w:rPr>
        <w:tab/>
      </w:r>
      <w:r>
        <w:rPr>
          <w:rFonts w:ascii="Times New Roman" w:hAnsi="Times New Roman"/>
          <w:color w:val="000000"/>
          <w:sz w:val="28"/>
          <w:szCs w:val="28"/>
          <w:lang w:val="en-US" w:eastAsia="ru-RU"/>
        </w:rPr>
        <w:t xml:space="preserve">In </w:t>
      </w:r>
      <w:r w:rsidRPr="00C74BAA">
        <w:rPr>
          <w:rFonts w:ascii="Times New Roman" w:hAnsi="Times New Roman"/>
          <w:color w:val="000000"/>
          <w:sz w:val="28"/>
          <w:szCs w:val="28"/>
          <w:lang w:val="en-US" w:eastAsia="ru-RU"/>
        </w:rPr>
        <w:t>economic transition</w:t>
      </w:r>
      <w:r>
        <w:rPr>
          <w:rFonts w:ascii="Times New Roman" w:hAnsi="Times New Roman"/>
          <w:color w:val="000000"/>
          <w:sz w:val="28"/>
          <w:szCs w:val="28"/>
          <w:lang w:val="en-US" w:eastAsia="ru-RU"/>
        </w:rPr>
        <w:t xml:space="preserve"> process</w:t>
      </w:r>
      <w:r w:rsidRPr="00C74BAA">
        <w:rPr>
          <w:rFonts w:ascii="Times New Roman" w:hAnsi="Times New Roman"/>
          <w:color w:val="000000"/>
          <w:sz w:val="28"/>
          <w:szCs w:val="28"/>
          <w:lang w:val="en-US" w:eastAsia="ru-RU"/>
        </w:rPr>
        <w:t xml:space="preserve"> financial system reforms are extremely difficult and risky because financial sector regulates and manages the wealth of </w:t>
      </w:r>
      <w:r>
        <w:rPr>
          <w:rFonts w:ascii="Times New Roman" w:hAnsi="Times New Roman"/>
          <w:color w:val="000000"/>
          <w:sz w:val="28"/>
          <w:szCs w:val="28"/>
          <w:lang w:val="en-US" w:eastAsia="ru-RU"/>
        </w:rPr>
        <w:t>nation and government.</w:t>
      </w:r>
      <w:r w:rsidRPr="00C74BAA">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 xml:space="preserve">Analysis of two-year-period changes shown that overall stance of financial institutions stabilized further and tempo of development accelerated. In banking system only liquidity ratio decreased slightly with insignificant influence and other three indicators remained unchanged. In insurance system negative rate was in total investment of insurance companies to </w:t>
      </w:r>
      <w:r w:rsidRPr="00BB605D">
        <w:rPr>
          <w:rFonts w:ascii="Times New Roman" w:hAnsi="Times New Roman"/>
          <w:color w:val="000000"/>
          <w:sz w:val="28"/>
          <w:szCs w:val="28"/>
          <w:lang w:val="en-US" w:eastAsia="ru-RU"/>
        </w:rPr>
        <w:t>GDP</w:t>
      </w:r>
      <w:r>
        <w:rPr>
          <w:rFonts w:ascii="Times New Roman" w:hAnsi="Times New Roman"/>
          <w:color w:val="000000"/>
          <w:sz w:val="28"/>
          <w:szCs w:val="28"/>
          <w:lang w:val="en-US" w:eastAsia="ru-RU"/>
        </w:rPr>
        <w:t>. In contrary, all indicators of leasing expected positive changes and absolute development. Drawn conclusions reveal that financial institutions performed their functions in consistent with long term development strategy.</w:t>
      </w:r>
    </w:p>
    <w:p w:rsidR="00313E3C" w:rsidRDefault="00313E3C" w:rsidP="00C74BAA">
      <w:pPr>
        <w:jc w:val="both"/>
        <w:rPr>
          <w:rFonts w:ascii="Times New Roman" w:hAnsi="Times New Roman"/>
          <w:color w:val="000000"/>
          <w:sz w:val="28"/>
          <w:szCs w:val="28"/>
          <w:lang w:val="en-US" w:eastAsia="ru-RU"/>
        </w:rPr>
      </w:pPr>
    </w:p>
    <w:p w:rsidR="00313E3C" w:rsidRPr="00D92A60" w:rsidRDefault="00313E3C" w:rsidP="00C74BAA">
      <w:pPr>
        <w:jc w:val="both"/>
        <w:rPr>
          <w:rFonts w:ascii="Times New Roman" w:hAnsi="Times New Roman"/>
          <w:b/>
          <w:color w:val="000000"/>
          <w:sz w:val="28"/>
          <w:szCs w:val="28"/>
          <w:lang w:val="en-US" w:eastAsia="ru-RU"/>
        </w:rPr>
      </w:pPr>
      <w:r w:rsidRPr="00D92A60">
        <w:rPr>
          <w:rFonts w:ascii="Times New Roman" w:hAnsi="Times New Roman"/>
          <w:b/>
          <w:color w:val="000000"/>
          <w:sz w:val="28"/>
          <w:szCs w:val="28"/>
          <w:lang w:val="en-US" w:eastAsia="ru-RU"/>
        </w:rPr>
        <w:t>Reference:</w:t>
      </w:r>
    </w:p>
    <w:p w:rsidR="00313E3C" w:rsidRPr="000D5987" w:rsidRDefault="00313E3C" w:rsidP="000D5987">
      <w:pPr>
        <w:autoSpaceDE w:val="0"/>
        <w:autoSpaceDN w:val="0"/>
        <w:adjustRightInd w:val="0"/>
        <w:spacing w:after="0" w:line="240" w:lineRule="auto"/>
        <w:rPr>
          <w:rFonts w:ascii="Times New Roman" w:hAnsi="Times New Roman"/>
          <w:bCs/>
          <w:sz w:val="28"/>
          <w:szCs w:val="28"/>
          <w:lang w:val="en-US"/>
        </w:rPr>
      </w:pPr>
      <w:r>
        <w:rPr>
          <w:rFonts w:ascii="Times New Roman" w:hAnsi="Times New Roman"/>
          <w:color w:val="000000"/>
          <w:sz w:val="28"/>
          <w:szCs w:val="28"/>
          <w:lang w:val="en-US" w:eastAsia="ru-RU"/>
        </w:rPr>
        <w:t xml:space="preserve">1. </w:t>
      </w:r>
      <w:r w:rsidRPr="000D5987">
        <w:rPr>
          <w:rFonts w:ascii="Times New Roman" w:hAnsi="Times New Roman"/>
          <w:bCs/>
          <w:sz w:val="28"/>
          <w:szCs w:val="28"/>
          <w:lang w:val="en-US"/>
        </w:rPr>
        <w:t>Global Financial Development Report 2013: Rethinking the Role of the State in Finance</w:t>
      </w:r>
      <w:r>
        <w:rPr>
          <w:rFonts w:ascii="Times New Roman" w:hAnsi="Times New Roman"/>
          <w:bCs/>
          <w:sz w:val="28"/>
          <w:szCs w:val="28"/>
          <w:lang w:val="en-US"/>
        </w:rPr>
        <w:t>. The World Bank. 2013– 220p.</w:t>
      </w:r>
    </w:p>
    <w:p w:rsidR="00313E3C" w:rsidRDefault="00313E3C" w:rsidP="000D5987">
      <w:pPr>
        <w:autoSpaceDE w:val="0"/>
        <w:autoSpaceDN w:val="0"/>
        <w:adjustRightInd w:val="0"/>
        <w:spacing w:after="0" w:line="240" w:lineRule="auto"/>
        <w:rPr>
          <w:rFonts w:ascii="Times New Roman" w:hAnsi="Times New Roman"/>
          <w:bCs/>
          <w:sz w:val="28"/>
          <w:szCs w:val="28"/>
          <w:lang w:val="en-US"/>
        </w:rPr>
      </w:pPr>
      <w:r>
        <w:rPr>
          <w:rFonts w:ascii="Times New Roman" w:hAnsi="Times New Roman"/>
          <w:color w:val="000000"/>
          <w:sz w:val="28"/>
          <w:szCs w:val="28"/>
          <w:lang w:val="en-US" w:eastAsia="ru-RU"/>
        </w:rPr>
        <w:t xml:space="preserve">2. </w:t>
      </w:r>
      <w:r w:rsidRPr="000D5987">
        <w:rPr>
          <w:rFonts w:ascii="Times New Roman" w:hAnsi="Times New Roman"/>
          <w:bCs/>
          <w:sz w:val="28"/>
          <w:szCs w:val="28"/>
          <w:lang w:val="en-US"/>
        </w:rPr>
        <w:t>Financial Sector Assessment Handbook</w:t>
      </w:r>
      <w:r>
        <w:rPr>
          <w:rFonts w:ascii="Times New Roman" w:hAnsi="Times New Roman"/>
          <w:bCs/>
          <w:sz w:val="28"/>
          <w:szCs w:val="28"/>
          <w:lang w:val="en-US"/>
        </w:rPr>
        <w:t xml:space="preserve">. </w:t>
      </w:r>
      <w:r w:rsidRPr="000D5987">
        <w:rPr>
          <w:rFonts w:ascii="Times New Roman" w:hAnsi="Times New Roman"/>
          <w:bCs/>
          <w:sz w:val="28"/>
          <w:szCs w:val="28"/>
          <w:lang w:val="en-US"/>
        </w:rPr>
        <w:t>The World Bank</w:t>
      </w:r>
      <w:r>
        <w:rPr>
          <w:rFonts w:ascii="Times New Roman" w:hAnsi="Times New Roman"/>
          <w:bCs/>
          <w:sz w:val="28"/>
          <w:szCs w:val="28"/>
          <w:lang w:val="en-US"/>
        </w:rPr>
        <w:t xml:space="preserve"> and </w:t>
      </w:r>
      <w:r w:rsidRPr="000D5987">
        <w:rPr>
          <w:rFonts w:ascii="Times New Roman" w:hAnsi="Times New Roman"/>
          <w:bCs/>
          <w:sz w:val="28"/>
          <w:szCs w:val="28"/>
          <w:lang w:val="en-US"/>
        </w:rPr>
        <w:t>the International</w:t>
      </w:r>
      <w:r>
        <w:rPr>
          <w:rFonts w:ascii="Times New Roman" w:hAnsi="Times New Roman"/>
          <w:bCs/>
          <w:sz w:val="28"/>
          <w:szCs w:val="28"/>
          <w:lang w:val="en-US"/>
        </w:rPr>
        <w:t xml:space="preserve"> </w:t>
      </w:r>
      <w:r w:rsidRPr="000D5987">
        <w:rPr>
          <w:rFonts w:ascii="Times New Roman" w:hAnsi="Times New Roman"/>
          <w:bCs/>
          <w:sz w:val="28"/>
          <w:szCs w:val="28"/>
          <w:lang w:val="en-US"/>
        </w:rPr>
        <w:t>Monetary Fund</w:t>
      </w:r>
      <w:r>
        <w:rPr>
          <w:rFonts w:ascii="Times New Roman" w:hAnsi="Times New Roman"/>
          <w:bCs/>
          <w:sz w:val="28"/>
          <w:szCs w:val="28"/>
          <w:lang w:val="en-US"/>
        </w:rPr>
        <w:t>. 2005 – 488p.</w:t>
      </w:r>
    </w:p>
    <w:p w:rsidR="00313E3C" w:rsidRPr="001B2A6F" w:rsidRDefault="00313E3C" w:rsidP="001B2A6F">
      <w:pPr>
        <w:autoSpaceDE w:val="0"/>
        <w:autoSpaceDN w:val="0"/>
        <w:adjustRightInd w:val="0"/>
        <w:spacing w:after="0" w:line="240" w:lineRule="auto"/>
        <w:rPr>
          <w:rFonts w:ascii="Times New Roman" w:hAnsi="Times New Roman"/>
          <w:sz w:val="28"/>
          <w:szCs w:val="28"/>
        </w:rPr>
      </w:pPr>
      <w:r>
        <w:rPr>
          <w:rFonts w:ascii="Times New Roman" w:hAnsi="Times New Roman"/>
          <w:bCs/>
          <w:sz w:val="28"/>
          <w:szCs w:val="28"/>
          <w:lang w:val="en-US"/>
        </w:rPr>
        <w:t xml:space="preserve">3. </w:t>
      </w:r>
      <w:r w:rsidRPr="00DA639C">
        <w:rPr>
          <w:rFonts w:ascii="Times New Roman" w:hAnsi="Times New Roman"/>
          <w:sz w:val="28"/>
          <w:szCs w:val="28"/>
          <w:lang w:val="en-US"/>
        </w:rPr>
        <w:t>4.</w:t>
      </w:r>
      <w:r>
        <w:rPr>
          <w:rFonts w:ascii="Times New Roman" w:hAnsi="Times New Roman"/>
          <w:sz w:val="28"/>
          <w:szCs w:val="28"/>
          <w:lang w:val="en-US"/>
        </w:rPr>
        <w:t xml:space="preserve"> 2013-</w:t>
      </w:r>
      <w:r w:rsidRPr="00DA639C">
        <w:rPr>
          <w:rFonts w:ascii="Times New Roman" w:hAnsi="Times New Roman"/>
          <w:sz w:val="28"/>
          <w:szCs w:val="28"/>
          <w:lang w:val="en-US"/>
        </w:rPr>
        <w:t xml:space="preserve">yilda pul-kredit sohasidagi vaziyat va monetar siyosatning </w:t>
      </w:r>
      <w:r>
        <w:rPr>
          <w:rFonts w:ascii="Times New Roman" w:hAnsi="Times New Roman"/>
          <w:sz w:val="28"/>
          <w:szCs w:val="28"/>
          <w:lang w:val="en-US"/>
        </w:rPr>
        <w:t>2014-</w:t>
      </w:r>
      <w:r w:rsidRPr="00DA639C">
        <w:rPr>
          <w:rFonts w:ascii="Times New Roman" w:hAnsi="Times New Roman"/>
          <w:sz w:val="28"/>
          <w:szCs w:val="28"/>
          <w:lang w:val="en-US"/>
        </w:rPr>
        <w:t>yilga mo'ljallangan asosiy yo'nalishlari</w:t>
      </w:r>
      <w:r>
        <w:rPr>
          <w:rFonts w:ascii="Times New Roman" w:hAnsi="Times New Roman"/>
          <w:sz w:val="28"/>
          <w:szCs w:val="28"/>
          <w:lang w:val="en-US"/>
        </w:rPr>
        <w:t>. O</w:t>
      </w:r>
      <w:r w:rsidRPr="000A7400">
        <w:rPr>
          <w:rFonts w:ascii="Times New Roman" w:hAnsi="Times New Roman"/>
          <w:sz w:val="28"/>
          <w:szCs w:val="28"/>
        </w:rPr>
        <w:t>’</w:t>
      </w:r>
      <w:r>
        <w:rPr>
          <w:rFonts w:ascii="Times New Roman" w:hAnsi="Times New Roman"/>
          <w:sz w:val="28"/>
          <w:szCs w:val="28"/>
          <w:lang w:val="en-US"/>
        </w:rPr>
        <w:t>zbekiston</w:t>
      </w:r>
      <w:r w:rsidRPr="000A7400">
        <w:rPr>
          <w:rFonts w:ascii="Times New Roman" w:hAnsi="Times New Roman"/>
          <w:sz w:val="28"/>
          <w:szCs w:val="28"/>
        </w:rPr>
        <w:t xml:space="preserve"> </w:t>
      </w:r>
      <w:r>
        <w:rPr>
          <w:rFonts w:ascii="Times New Roman" w:hAnsi="Times New Roman"/>
          <w:sz w:val="28"/>
          <w:szCs w:val="28"/>
          <w:lang w:val="en-US"/>
        </w:rPr>
        <w:t>Respublikasi</w:t>
      </w:r>
      <w:r w:rsidRPr="000A7400">
        <w:rPr>
          <w:rFonts w:ascii="Times New Roman" w:hAnsi="Times New Roman"/>
          <w:sz w:val="28"/>
          <w:szCs w:val="28"/>
        </w:rPr>
        <w:t xml:space="preserve"> </w:t>
      </w:r>
      <w:r>
        <w:rPr>
          <w:rFonts w:ascii="Times New Roman" w:hAnsi="Times New Roman"/>
          <w:sz w:val="28"/>
          <w:szCs w:val="28"/>
          <w:lang w:val="en-US"/>
        </w:rPr>
        <w:t>Markaziy</w:t>
      </w:r>
      <w:r w:rsidRPr="000A7400">
        <w:rPr>
          <w:rFonts w:ascii="Times New Roman" w:hAnsi="Times New Roman"/>
          <w:sz w:val="28"/>
          <w:szCs w:val="28"/>
        </w:rPr>
        <w:t xml:space="preserve"> </w:t>
      </w:r>
      <w:r>
        <w:rPr>
          <w:rFonts w:ascii="Times New Roman" w:hAnsi="Times New Roman"/>
          <w:sz w:val="28"/>
          <w:szCs w:val="28"/>
          <w:lang w:val="en-US"/>
        </w:rPr>
        <w:t>Banki</w:t>
      </w:r>
      <w:r w:rsidRPr="000A7400">
        <w:rPr>
          <w:rFonts w:ascii="Times New Roman" w:hAnsi="Times New Roman"/>
          <w:sz w:val="28"/>
          <w:szCs w:val="28"/>
        </w:rPr>
        <w:t>. 2014. (</w:t>
      </w:r>
      <w:hyperlink r:id="rId4" w:history="1">
        <w:r w:rsidRPr="0001059A">
          <w:rPr>
            <w:rStyle w:val="Hyperlink"/>
            <w:rFonts w:ascii="Times New Roman" w:hAnsi="Times New Roman"/>
            <w:sz w:val="28"/>
            <w:szCs w:val="28"/>
            <w:lang w:val="en-US"/>
          </w:rPr>
          <w:t>www</w:t>
        </w:r>
        <w:r w:rsidRPr="0001059A">
          <w:rPr>
            <w:rStyle w:val="Hyperlink"/>
            <w:rFonts w:ascii="Times New Roman" w:hAnsi="Times New Roman"/>
            <w:sz w:val="28"/>
            <w:szCs w:val="28"/>
          </w:rPr>
          <w:t>.</w:t>
        </w:r>
        <w:r w:rsidRPr="0001059A">
          <w:rPr>
            <w:rStyle w:val="Hyperlink"/>
            <w:rFonts w:ascii="Times New Roman" w:hAnsi="Times New Roman"/>
            <w:sz w:val="28"/>
            <w:szCs w:val="28"/>
            <w:lang w:val="en-US"/>
          </w:rPr>
          <w:t>cbu</w:t>
        </w:r>
        <w:r w:rsidRPr="001B2A6F">
          <w:rPr>
            <w:rStyle w:val="Hyperlink"/>
            <w:rFonts w:ascii="Times New Roman" w:hAnsi="Times New Roman"/>
            <w:sz w:val="28"/>
            <w:szCs w:val="28"/>
          </w:rPr>
          <w:t>.</w:t>
        </w:r>
        <w:r w:rsidRPr="0001059A">
          <w:rPr>
            <w:rStyle w:val="Hyperlink"/>
            <w:rFonts w:ascii="Times New Roman" w:hAnsi="Times New Roman"/>
            <w:sz w:val="28"/>
            <w:szCs w:val="28"/>
            <w:lang w:val="en-US"/>
          </w:rPr>
          <w:t>uz</w:t>
        </w:r>
      </w:hyperlink>
      <w:r>
        <w:rPr>
          <w:rFonts w:ascii="Times New Roman" w:hAnsi="Times New Roman"/>
          <w:sz w:val="28"/>
          <w:szCs w:val="28"/>
        </w:rPr>
        <w:t xml:space="preserve">) </w:t>
      </w:r>
    </w:p>
    <w:p w:rsidR="00313E3C" w:rsidRPr="000A7400" w:rsidRDefault="00313E3C" w:rsidP="001B2A6F">
      <w:pPr>
        <w:pStyle w:val="Default"/>
        <w:rPr>
          <w:rFonts w:ascii="Times New Roman" w:hAnsi="Times New Roman" w:cs="Times New Roman"/>
          <w:color w:val="auto"/>
          <w:sz w:val="28"/>
          <w:szCs w:val="28"/>
          <w:lang w:val="en-US"/>
        </w:rPr>
      </w:pPr>
      <w:r w:rsidRPr="000A7400">
        <w:rPr>
          <w:rFonts w:ascii="Times New Roman" w:hAnsi="Times New Roman" w:cs="Times New Roman"/>
          <w:color w:val="auto"/>
          <w:sz w:val="28"/>
          <w:szCs w:val="28"/>
        </w:rPr>
        <w:t>5. Сведения о рынке страховых услуг Республики Узбекистан по итогам 2013 года и по сравнению с аналогичным периодом 2012 год</w:t>
      </w:r>
      <w:r w:rsidRPr="00241208">
        <w:rPr>
          <w:rFonts w:ascii="Times New Roman" w:hAnsi="Times New Roman" w:cs="Times New Roman"/>
          <w:color w:val="auto"/>
          <w:sz w:val="28"/>
          <w:szCs w:val="28"/>
        </w:rPr>
        <w:t xml:space="preserve">а. </w:t>
      </w:r>
      <w:r w:rsidRPr="00076D9E">
        <w:rPr>
          <w:rFonts w:ascii="Times New Roman" w:hAnsi="Times New Roman" w:cs="Times New Roman"/>
          <w:color w:val="auto"/>
          <w:sz w:val="28"/>
          <w:szCs w:val="28"/>
          <w:lang w:val="en-US"/>
        </w:rPr>
        <w:t xml:space="preserve">Ministry of Finance of the Republic of Uzbekistan. 2014. </w:t>
      </w:r>
      <w:r>
        <w:rPr>
          <w:rFonts w:ascii="Times New Roman" w:hAnsi="Times New Roman" w:cs="Times New Roman"/>
          <w:color w:val="auto"/>
          <w:sz w:val="28"/>
          <w:szCs w:val="28"/>
          <w:lang w:val="en-US"/>
        </w:rPr>
        <w:t>(</w:t>
      </w:r>
      <w:hyperlink r:id="rId5" w:history="1">
        <w:r w:rsidRPr="0001059A">
          <w:rPr>
            <w:rStyle w:val="Hyperlink"/>
            <w:rFonts w:ascii="Times New Roman" w:hAnsi="Times New Roman"/>
            <w:sz w:val="28"/>
            <w:szCs w:val="28"/>
            <w:lang w:val="en-US"/>
          </w:rPr>
          <w:t>www.mf.uz</w:t>
        </w:r>
      </w:hyperlink>
      <w:r>
        <w:rPr>
          <w:rFonts w:ascii="Times New Roman" w:hAnsi="Times New Roman" w:cs="Times New Roman"/>
          <w:color w:val="auto"/>
          <w:sz w:val="28"/>
          <w:szCs w:val="28"/>
          <w:lang w:val="en-US"/>
        </w:rPr>
        <w:t xml:space="preserve">) </w:t>
      </w:r>
    </w:p>
    <w:p w:rsidR="00313E3C" w:rsidRPr="00076D9E" w:rsidRDefault="00313E3C" w:rsidP="001B2A6F">
      <w:pPr>
        <w:pStyle w:val="Default"/>
        <w:rPr>
          <w:rFonts w:ascii="Times New Roman" w:hAnsi="Times New Roman" w:cs="Times New Roman"/>
          <w:color w:val="auto"/>
          <w:sz w:val="28"/>
          <w:szCs w:val="28"/>
          <w:lang w:val="en-US"/>
        </w:rPr>
      </w:pPr>
      <w:r w:rsidRPr="000A7400">
        <w:rPr>
          <w:rFonts w:ascii="Times New Roman" w:hAnsi="Times New Roman" w:cs="Times New Roman"/>
          <w:color w:val="auto"/>
          <w:sz w:val="28"/>
          <w:szCs w:val="28"/>
        </w:rPr>
        <w:t xml:space="preserve">6. Информация о лизинговых операциях, осуществленных лизингодателями по итогам 2013 года. </w:t>
      </w:r>
      <w:r w:rsidRPr="00076D9E">
        <w:rPr>
          <w:rFonts w:ascii="Times New Roman" w:hAnsi="Times New Roman" w:cs="Times New Roman"/>
          <w:color w:val="auto"/>
          <w:sz w:val="28"/>
          <w:szCs w:val="28"/>
          <w:lang w:val="en-US"/>
        </w:rPr>
        <w:t>Ministry of Finance of th</w:t>
      </w:r>
      <w:r>
        <w:rPr>
          <w:rFonts w:ascii="Times New Roman" w:hAnsi="Times New Roman" w:cs="Times New Roman"/>
          <w:color w:val="auto"/>
          <w:sz w:val="28"/>
          <w:szCs w:val="28"/>
          <w:lang w:val="en-US"/>
        </w:rPr>
        <w:t xml:space="preserve">e Republic of Uzbekistan. 2014. </w:t>
      </w:r>
      <w:r w:rsidRPr="00076D9E">
        <w:rPr>
          <w:rFonts w:ascii="Times New Roman" w:hAnsi="Times New Roman" w:cs="Times New Roman"/>
          <w:color w:val="auto"/>
          <w:sz w:val="28"/>
          <w:szCs w:val="28"/>
          <w:lang w:val="en-US"/>
        </w:rPr>
        <w:t>(</w:t>
      </w:r>
      <w:hyperlink r:id="rId6" w:history="1">
        <w:r w:rsidRPr="0001059A">
          <w:rPr>
            <w:rStyle w:val="Hyperlink"/>
            <w:rFonts w:ascii="Times New Roman" w:hAnsi="Times New Roman"/>
            <w:sz w:val="28"/>
            <w:szCs w:val="28"/>
            <w:lang w:val="en-US"/>
          </w:rPr>
          <w:t>www.mf.uz</w:t>
        </w:r>
      </w:hyperlink>
      <w:r>
        <w:rPr>
          <w:rFonts w:ascii="Times New Roman" w:hAnsi="Times New Roman" w:cs="Times New Roman"/>
          <w:color w:val="auto"/>
          <w:sz w:val="28"/>
          <w:szCs w:val="28"/>
          <w:lang w:val="en-US"/>
        </w:rPr>
        <w:t xml:space="preserve">) </w:t>
      </w:r>
    </w:p>
    <w:p w:rsidR="00313E3C" w:rsidRDefault="00313E3C" w:rsidP="001B2A6F">
      <w:pPr>
        <w:autoSpaceDE w:val="0"/>
        <w:autoSpaceDN w:val="0"/>
        <w:adjustRightInd w:val="0"/>
        <w:spacing w:after="0" w:line="240" w:lineRule="auto"/>
        <w:rPr>
          <w:rFonts w:ascii="Times New Roman" w:eastAsia="Sabon-Roman" w:hAnsi="Times New Roman"/>
          <w:sz w:val="28"/>
          <w:szCs w:val="28"/>
          <w:lang w:val="en-US"/>
        </w:rPr>
      </w:pPr>
      <w:r w:rsidRPr="00B234AC">
        <w:rPr>
          <w:rFonts w:ascii="Times New Roman" w:hAnsi="Times New Roman"/>
          <w:sz w:val="28"/>
          <w:szCs w:val="28"/>
          <w:lang w:val="en-US"/>
        </w:rPr>
        <w:t xml:space="preserve">7. </w:t>
      </w:r>
      <w:r>
        <w:rPr>
          <w:rFonts w:ascii="Times New Roman" w:eastAsia="Sabon-Roman" w:hAnsi="Times New Roman"/>
          <w:sz w:val="28"/>
          <w:szCs w:val="28"/>
          <w:lang w:val="en-US"/>
        </w:rPr>
        <w:t>Arcand</w:t>
      </w:r>
      <w:r w:rsidRPr="00B234AC">
        <w:rPr>
          <w:rFonts w:ascii="Times New Roman" w:eastAsia="Sabon-Roman" w:hAnsi="Times New Roman"/>
          <w:sz w:val="28"/>
          <w:szCs w:val="28"/>
          <w:lang w:val="en-US"/>
        </w:rPr>
        <w:t>, Berkes, and Panizza. 2011. “Too Much Finance?”</w:t>
      </w:r>
      <w:r>
        <w:rPr>
          <w:rFonts w:ascii="Times New Roman" w:eastAsia="Sabon-Roman" w:hAnsi="Times New Roman"/>
          <w:sz w:val="28"/>
          <w:szCs w:val="28"/>
          <w:lang w:val="en-US"/>
        </w:rPr>
        <w:t>.</w:t>
      </w:r>
      <w:r w:rsidRPr="00B234AC">
        <w:rPr>
          <w:rFonts w:ascii="Times New Roman" w:eastAsia="Sabon-Roman" w:hAnsi="Times New Roman"/>
          <w:sz w:val="28"/>
          <w:szCs w:val="28"/>
          <w:lang w:val="en-US"/>
        </w:rPr>
        <w:t xml:space="preserve"> </w:t>
      </w:r>
      <w:r>
        <w:rPr>
          <w:rFonts w:ascii="Times New Roman" w:eastAsia="Sabon-Roman" w:hAnsi="Times New Roman"/>
          <w:sz w:val="28"/>
          <w:szCs w:val="28"/>
          <w:lang w:val="en-US"/>
        </w:rPr>
        <w:t xml:space="preserve">VoxEU. 2012. </w:t>
      </w:r>
      <w:r w:rsidRPr="00B234AC">
        <w:rPr>
          <w:rFonts w:ascii="Times New Roman" w:eastAsia="Sabon-Roman" w:hAnsi="Times New Roman"/>
          <w:sz w:val="28"/>
          <w:szCs w:val="28"/>
          <w:lang w:val="en-US"/>
        </w:rPr>
        <w:t>(</w:t>
      </w:r>
      <w:hyperlink r:id="rId7" w:history="1">
        <w:r w:rsidRPr="0001059A">
          <w:rPr>
            <w:rStyle w:val="Hyperlink"/>
            <w:rFonts w:ascii="Times New Roman" w:eastAsia="Sabon-Roman" w:hAnsi="Times New Roman"/>
            <w:sz w:val="28"/>
            <w:szCs w:val="28"/>
            <w:lang w:val="en-US"/>
          </w:rPr>
          <w:t>www.voxeu.org</w:t>
        </w:r>
      </w:hyperlink>
      <w:r>
        <w:rPr>
          <w:rFonts w:ascii="Times New Roman" w:eastAsia="Sabon-Roman" w:hAnsi="Times New Roman"/>
          <w:sz w:val="28"/>
          <w:szCs w:val="28"/>
          <w:lang w:val="en-US"/>
        </w:rPr>
        <w:t xml:space="preserve">) </w:t>
      </w:r>
    </w:p>
    <w:p w:rsidR="00313E3C" w:rsidRDefault="00313E3C" w:rsidP="000D5987">
      <w:pPr>
        <w:autoSpaceDE w:val="0"/>
        <w:autoSpaceDN w:val="0"/>
        <w:adjustRightInd w:val="0"/>
        <w:spacing w:after="0" w:line="240" w:lineRule="auto"/>
        <w:rPr>
          <w:rFonts w:ascii="Times New Roman" w:hAnsi="Times New Roman"/>
          <w:bCs/>
          <w:sz w:val="28"/>
          <w:szCs w:val="28"/>
          <w:lang w:val="en-US"/>
        </w:rPr>
      </w:pPr>
    </w:p>
    <w:p w:rsidR="00313E3C" w:rsidRDefault="00313E3C" w:rsidP="000D5987">
      <w:pPr>
        <w:autoSpaceDE w:val="0"/>
        <w:autoSpaceDN w:val="0"/>
        <w:adjustRightInd w:val="0"/>
        <w:spacing w:after="0" w:line="240" w:lineRule="auto"/>
        <w:rPr>
          <w:rFonts w:ascii="Times New Roman" w:hAnsi="Times New Roman"/>
          <w:bCs/>
          <w:sz w:val="28"/>
          <w:szCs w:val="28"/>
          <w:lang w:val="en-US"/>
        </w:rPr>
      </w:pPr>
    </w:p>
    <w:sectPr w:rsidR="00313E3C" w:rsidSect="00C70C6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abon-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426F"/>
    <w:rsid w:val="00000DF5"/>
    <w:rsid w:val="0001059A"/>
    <w:rsid w:val="000118C4"/>
    <w:rsid w:val="0002050F"/>
    <w:rsid w:val="00025E9E"/>
    <w:rsid w:val="00040FBD"/>
    <w:rsid w:val="0004152B"/>
    <w:rsid w:val="000636D2"/>
    <w:rsid w:val="00076D9E"/>
    <w:rsid w:val="000A7400"/>
    <w:rsid w:val="000A7833"/>
    <w:rsid w:val="000C1C2B"/>
    <w:rsid w:val="000C7564"/>
    <w:rsid w:val="000D5987"/>
    <w:rsid w:val="000F7A9B"/>
    <w:rsid w:val="00103CDF"/>
    <w:rsid w:val="001160A4"/>
    <w:rsid w:val="00126951"/>
    <w:rsid w:val="00156B13"/>
    <w:rsid w:val="00173D63"/>
    <w:rsid w:val="00177819"/>
    <w:rsid w:val="00181269"/>
    <w:rsid w:val="0018202C"/>
    <w:rsid w:val="001B2A6F"/>
    <w:rsid w:val="00241208"/>
    <w:rsid w:val="002437C8"/>
    <w:rsid w:val="00262005"/>
    <w:rsid w:val="002A56D5"/>
    <w:rsid w:val="002C2DEF"/>
    <w:rsid w:val="002D3569"/>
    <w:rsid w:val="00300FFE"/>
    <w:rsid w:val="00310479"/>
    <w:rsid w:val="00313E3C"/>
    <w:rsid w:val="00340594"/>
    <w:rsid w:val="0037332A"/>
    <w:rsid w:val="00382E59"/>
    <w:rsid w:val="003C61C5"/>
    <w:rsid w:val="003D0D81"/>
    <w:rsid w:val="003F15A5"/>
    <w:rsid w:val="00402840"/>
    <w:rsid w:val="004056C6"/>
    <w:rsid w:val="00417C4D"/>
    <w:rsid w:val="00461B8A"/>
    <w:rsid w:val="00475D98"/>
    <w:rsid w:val="00490893"/>
    <w:rsid w:val="004F53AD"/>
    <w:rsid w:val="0051232F"/>
    <w:rsid w:val="00532B7C"/>
    <w:rsid w:val="005604F6"/>
    <w:rsid w:val="005B426F"/>
    <w:rsid w:val="005D5910"/>
    <w:rsid w:val="006349A2"/>
    <w:rsid w:val="006368C9"/>
    <w:rsid w:val="0064712E"/>
    <w:rsid w:val="0066273B"/>
    <w:rsid w:val="00684783"/>
    <w:rsid w:val="006A2B52"/>
    <w:rsid w:val="006E2A77"/>
    <w:rsid w:val="006E58D1"/>
    <w:rsid w:val="00714FBB"/>
    <w:rsid w:val="007955A4"/>
    <w:rsid w:val="007C4A19"/>
    <w:rsid w:val="0082191A"/>
    <w:rsid w:val="008355A5"/>
    <w:rsid w:val="00835729"/>
    <w:rsid w:val="0084056A"/>
    <w:rsid w:val="00857014"/>
    <w:rsid w:val="008A2982"/>
    <w:rsid w:val="008B3999"/>
    <w:rsid w:val="008B6D30"/>
    <w:rsid w:val="0092473F"/>
    <w:rsid w:val="009713B6"/>
    <w:rsid w:val="00974B46"/>
    <w:rsid w:val="00984557"/>
    <w:rsid w:val="00992064"/>
    <w:rsid w:val="009A3361"/>
    <w:rsid w:val="009A36CD"/>
    <w:rsid w:val="009C791A"/>
    <w:rsid w:val="00A14A7B"/>
    <w:rsid w:val="00A16965"/>
    <w:rsid w:val="00AD4F8E"/>
    <w:rsid w:val="00B132FF"/>
    <w:rsid w:val="00B15F0B"/>
    <w:rsid w:val="00B17BAC"/>
    <w:rsid w:val="00B234AC"/>
    <w:rsid w:val="00B95275"/>
    <w:rsid w:val="00B9725F"/>
    <w:rsid w:val="00BB605D"/>
    <w:rsid w:val="00C3395F"/>
    <w:rsid w:val="00C70C6C"/>
    <w:rsid w:val="00C74BAA"/>
    <w:rsid w:val="00C94BF6"/>
    <w:rsid w:val="00CB497F"/>
    <w:rsid w:val="00CF4A78"/>
    <w:rsid w:val="00D35A6F"/>
    <w:rsid w:val="00D4031C"/>
    <w:rsid w:val="00D92A60"/>
    <w:rsid w:val="00DA639C"/>
    <w:rsid w:val="00DB5902"/>
    <w:rsid w:val="00DC2489"/>
    <w:rsid w:val="00DC5B2D"/>
    <w:rsid w:val="00DD5F13"/>
    <w:rsid w:val="00E20079"/>
    <w:rsid w:val="00E2655C"/>
    <w:rsid w:val="00E36635"/>
    <w:rsid w:val="00E85234"/>
    <w:rsid w:val="00EA3E4C"/>
    <w:rsid w:val="00EB68C3"/>
    <w:rsid w:val="00EC2670"/>
    <w:rsid w:val="00EF58BA"/>
    <w:rsid w:val="00F36978"/>
    <w:rsid w:val="00F72C52"/>
    <w:rsid w:val="00FC60D1"/>
    <w:rsid w:val="00FD3D8A"/>
    <w:rsid w:val="00FF144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26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B2A6F"/>
    <w:pPr>
      <w:autoSpaceDE w:val="0"/>
      <w:autoSpaceDN w:val="0"/>
      <w:adjustRightInd w:val="0"/>
    </w:pPr>
    <w:rPr>
      <w:rFonts w:ascii="Arial" w:hAnsi="Arial" w:cs="Arial"/>
      <w:color w:val="000000"/>
      <w:sz w:val="24"/>
      <w:szCs w:val="24"/>
      <w:lang w:val="ru-RU" w:eastAsia="en-US"/>
    </w:rPr>
  </w:style>
  <w:style w:type="character" w:styleId="Hyperlink">
    <w:name w:val="Hyperlink"/>
    <w:basedOn w:val="DefaultParagraphFont"/>
    <w:uiPriority w:val="99"/>
    <w:rsid w:val="001B2A6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voxeu.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f.uz" TargetMode="External"/><Relationship Id="rId5" Type="http://schemas.openxmlformats.org/officeDocument/2006/relationships/hyperlink" Target="http://www.mf.uz" TargetMode="External"/><Relationship Id="rId4" Type="http://schemas.openxmlformats.org/officeDocument/2006/relationships/hyperlink" Target="http://www.cbu.uz"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401</TotalTime>
  <Pages>5</Pages>
  <Words>6372</Words>
  <Characters>3633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59</cp:revision>
  <dcterms:created xsi:type="dcterms:W3CDTF">2014-03-28T13:40:00Z</dcterms:created>
  <dcterms:modified xsi:type="dcterms:W3CDTF">2014-04-28T21:15:00Z</dcterms:modified>
</cp:coreProperties>
</file>