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1B" w:rsidRPr="00F80B85" w:rsidRDefault="006D5D1B">
      <w:pPr>
        <w:pStyle w:val="a"/>
        <w:spacing w:after="0" w:line="360" w:lineRule="auto"/>
        <w:ind w:firstLine="709"/>
        <w:jc w:val="right"/>
        <w:rPr>
          <w:b/>
        </w:rPr>
      </w:pPr>
      <w:r w:rsidRPr="00F80B85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Галина Долгопола, Антоніна Нєвєнченко,</w:t>
      </w:r>
    </w:p>
    <w:p w:rsidR="006D5D1B" w:rsidRPr="00F80B85" w:rsidRDefault="006D5D1B">
      <w:pPr>
        <w:pStyle w:val="a"/>
        <w:spacing w:after="0" w:line="360" w:lineRule="auto"/>
        <w:ind w:firstLine="709"/>
        <w:jc w:val="right"/>
        <w:rPr>
          <w:b/>
        </w:rPr>
      </w:pPr>
      <w:r w:rsidRPr="00F80B85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Юлія Дехтяр, Анастасія Мельник</w:t>
      </w:r>
    </w:p>
    <w:p w:rsidR="006D5D1B" w:rsidRPr="00F80B85" w:rsidRDefault="006D5D1B">
      <w:pPr>
        <w:pStyle w:val="a"/>
        <w:spacing w:after="0" w:line="360" w:lineRule="auto"/>
        <w:ind w:firstLine="709"/>
        <w:jc w:val="right"/>
        <w:rPr>
          <w:b/>
        </w:rPr>
      </w:pPr>
      <w:r w:rsidRPr="00F80B85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(Івано-Франківськ, Україна)</w:t>
      </w:r>
    </w:p>
    <w:p w:rsidR="006D5D1B" w:rsidRDefault="006D5D1B">
      <w:pPr>
        <w:pStyle w:val="a"/>
        <w:spacing w:after="0" w:line="360" w:lineRule="auto"/>
        <w:ind w:firstLine="709"/>
        <w:jc w:val="right"/>
      </w:pPr>
    </w:p>
    <w:p w:rsidR="006D5D1B" w:rsidRDefault="006D5D1B">
      <w:pPr>
        <w:pStyle w:val="a"/>
        <w:spacing w:after="0" w:line="360" w:lineRule="auto"/>
        <w:ind w:firstLine="709"/>
        <w:jc w:val="center"/>
      </w:pPr>
      <w:r>
        <w:rPr>
          <w:rStyle w:val="FontStyle16"/>
          <w:rFonts w:cs="Times New Roman"/>
          <w:b/>
          <w:bCs/>
          <w:color w:val="000000"/>
          <w:sz w:val="28"/>
          <w:szCs w:val="28"/>
          <w:lang w:val="uk-UA"/>
        </w:rPr>
        <w:t xml:space="preserve">РОЗРОБКА ПРОЕКТІВ ОРГАНІЗАЦІЇ ЗАКЛАДІВ ГОСТИННОСТІ </w:t>
      </w:r>
    </w:p>
    <w:p w:rsidR="006D5D1B" w:rsidRDefault="006D5D1B">
      <w:pPr>
        <w:pStyle w:val="a"/>
        <w:spacing w:after="0" w:line="360" w:lineRule="auto"/>
        <w:ind w:firstLine="709"/>
        <w:jc w:val="center"/>
      </w:pPr>
      <w:r>
        <w:rPr>
          <w:rStyle w:val="FontStyle16"/>
          <w:rFonts w:cs="Times New Roman"/>
          <w:b/>
          <w:bCs/>
          <w:color w:val="000000"/>
          <w:sz w:val="28"/>
          <w:szCs w:val="28"/>
          <w:lang w:val="uk-UA"/>
        </w:rPr>
        <w:t>ОБ'ЄДНАНИХ ТЕРИТОРІАЛЬНИХ ГРОМАД</w:t>
      </w:r>
    </w:p>
    <w:p w:rsidR="006D5D1B" w:rsidRDefault="006D5D1B">
      <w:pPr>
        <w:pStyle w:val="a"/>
        <w:spacing w:after="0" w:line="360" w:lineRule="auto"/>
        <w:ind w:firstLine="709"/>
        <w:jc w:val="right"/>
      </w:pPr>
    </w:p>
    <w:p w:rsidR="006D5D1B" w:rsidRPr="00F80B85" w:rsidRDefault="006D5D1B">
      <w:pPr>
        <w:pStyle w:val="BodyText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 xml:space="preserve">Актуальність проблеми дослідження. Створення сучасної індустрії туризму вимагає розвиненої інфраструктури з обслуговування туристів. Сучасний фахівець із туризму має не тільки володіти технологією обслуговування клієнтів, а й мати чітке уявлення щодо планувальної організації підприємств, що входять до складу туристських і готельно-ресторанних комплексів, їхньої матеріально-технічної бази та технічного оснащення, розроблення проектувальних рішень цих підприємств, що мають спиратися на нормативні вимоги щодо проектування й експлуатації житлових і громадських приміщень готельного комплексу. </w:t>
      </w:r>
    </w:p>
    <w:p w:rsidR="006D5D1B" w:rsidRPr="00F80B85" w:rsidRDefault="006D5D1B">
      <w:pPr>
        <w:pStyle w:val="BodyText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Аналіз останніх досліджень і публікацій.</w:t>
      </w:r>
      <w:r>
        <w:rPr>
          <w:rStyle w:val="FontStyle16"/>
          <w:rFonts w:cs="Times New Roman"/>
          <w:b/>
          <w:color w:val="000000"/>
          <w:sz w:val="28"/>
          <w:szCs w:val="28"/>
          <w:lang w:val="uk-UA" w:eastAsia="zh-CN"/>
        </w:rPr>
        <w:t xml:space="preserve"> </w:t>
      </w: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Дослідження вітчизняного місцевого самоврядування ведуться в різних напрямах. Зокрема, становлення та розвиток місцевого самоврядування вивчають Астапова Т., Гордєєв О., та Лис Б.  Особливості децентралізації в Україні досліджують Серьогін С., Гончарук Н., Ярошенко І., Семигуліна І. У працях висвітлюється проблематика процесу утворення громад, його особливості в Україні та досвід процесу децентралізації за кордоном.</w:t>
      </w:r>
      <w:r>
        <w:rPr>
          <w:rStyle w:val="FontStyle16"/>
          <w:rFonts w:cs="Times New Roman"/>
          <w:color w:val="000000"/>
          <w:spacing w:val="-2"/>
          <w:sz w:val="28"/>
          <w:szCs w:val="28"/>
          <w:lang w:val="uk-UA" w:eastAsia="zh-CN"/>
        </w:rPr>
        <w:t xml:space="preserve"> 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 xml:space="preserve">В умовах формування територіальних громад актуальним постало питання оцінки ресурсного потенціалу нових адміністративних утворень для раціонального планування господарського комплексу. Для більшості територіальних громад Івано-Франківської області перспективною галуззю  господарства є туризм. 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Потужний природний та історико-культурний потенціал Прикарпаття у поєднанні зі збереженими етнічними традиціями та традиційними промислами  сформували базу розвитку туризму в регіоні. Проте, інфраструктурна складова туризму в ряді територіальних громад вимагає формування, або ж суттєвого покращення.</w:t>
      </w:r>
    </w:p>
    <w:p w:rsidR="006D5D1B" w:rsidRPr="00F80B85" w:rsidRDefault="006D5D1B">
      <w:pPr>
        <w:pStyle w:val="BodyText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 xml:space="preserve">Основою туристичної інфраструктури є готельне господарство. Тенденції розвитку готельного господарства України позитивні практично у всіх регіонах,  в тому числі і в Івано-Франківській області. Спостерігаємо розширення спектру </w:t>
      </w:r>
    </w:p>
    <w:p w:rsidR="006D5D1B" w:rsidRPr="00F80B85" w:rsidRDefault="006D5D1B">
      <w:pPr>
        <w:pStyle w:val="BodyText"/>
        <w:spacing w:after="0" w:line="360" w:lineRule="auto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послуг готельних комплексів. Не тільки можливість розміщення, а також широкий комплекс інших послуг, наприклад, харчування в ресторані при готелі, надання залів для проведення нарад, придбання квитків на транспорт, виклик  таксі, екскурсійне обслуговування, організація розваг, торгівля сувенірами та іншими товарами.</w:t>
      </w:r>
    </w:p>
    <w:p w:rsidR="006D5D1B" w:rsidRPr="00F80B85" w:rsidRDefault="006D5D1B">
      <w:pPr>
        <w:pStyle w:val="BodyText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 xml:space="preserve">В процесі дослідження показників забезпеченості закладами розміщення на території Івано-Франківської області маємо можливість зазначити, що кількість даних закладів в кожному з районів області є дуже нерівномірною. В деяких районах області кількість закладів розміщення є надзвичайно великою,  в інших їх кількість коливається в межах 5-10 одиниць. Це свідчить про нерівномірність розподілу закладів готельного господарства, що потребує змін задля розширення та покращення туристичної (рекреаційної) діяльності в районах Івано-Франківської області [1]. 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Заклади розміщення в основному поширені в м. Яремче, смт. Ворохта, с. Татарів, с. Поляниця, с. Микуличин та с. Яблуниця. Ці населені пункти знаходяться поблизу гірськолижного курорту “Буковель”, що значною мірою  пояснює наявність більшої кількості закладів готельного господарства. 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Для туристів традиційно привабливими туристичними дестинаціями є Яремчанська міська рада, Косівський, Верховинський райони та обласний центр – місто Івано-Франківськ. 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Ефективне функціонування готельно-туристичної індустрії є індикатором позитивних змін в економіці нашої держави, в тому числі і окремих регіонів, районів тощо, і важливою передумовою інтенсифікації міжнародних зв’язків та  інтеграції країни у світове співтовариство. Пріоритетним напрямом розвитку  сфери туристично-готельних послуг є доведення їх якості до міжнародних стандартів та удосконалення туристичних технологій, впровадження нових видів і форм обслуговування, що дозволить у більш повному обсязі задовольнити потреби клієнтів. </w:t>
      </w:r>
    </w:p>
    <w:p w:rsidR="006D5D1B" w:rsidRPr="00F80B85" w:rsidRDefault="006D5D1B">
      <w:pPr>
        <w:pStyle w:val="a"/>
        <w:spacing w:after="0" w:line="360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сучасному етапі розвитку готельного ринку, для підтримання конкурентоспроможності закладу, з'являється необхідність розширення комплексу послуг для гостей не тільки за допомогою використання індустрії гостинності та розваг, але і за рахунок впровадження загальнооздоровчого комплексу. Сьогодні досить популярним є поєднання готельного бізнесу та індустрії краси та здоров'я, рекреації (відновлення та реабілітації) результатом якого є поява spa-готелів, парк-готелів зі spa та ін. Особливістю цього типу готелів є широкий спектр послуг з оздоровлення, релаксації і турботи про красу. Гостям пропонуються сауна, масаж, ароматерапія, йога, лікувальні грязі, консультації дієтолога, басейни, сеанси пілінгу, фітнес-зали, програми з омолодження і очищення організму, а також багато іншого. Сьогодні spa-салон так само важливий для готелю, як комфортабельний номер і відповідний клас ресторану. Це обумовлено тим, що наявність spa-центру має велике значення для розвитку всього готельного комплексу і дає додаткову конкурентну перевагу, що, в свою чергу, приваблює клієнтів і забезпечує збільшення сукупного доходу готелю. Вимоги, які висуваються до spa-центрів готелю, значно відрізняються від аналогічних вимог до міських салонів краси. Для вітчизняного бізнесу типові spa-салони в готелі складаються з басейну з зоною відпочинку, сауни і парової лазні з душовими кабінами, тренажерної зали та салону краси [2].</w:t>
      </w:r>
    </w:p>
    <w:p w:rsidR="006D5D1B" w:rsidRPr="00F80B85" w:rsidRDefault="006D5D1B">
      <w:pPr>
        <w:pStyle w:val="a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Найважливішим елементом spa-зони готелю є її “внутрішня аура”, яка  визначається дизайнерськими рішеннями інтер'єру. В spa-готелях на даний час не існує стійких і домінуючих стилів в дизайні та архітектурі. Позначені лише основні стилістичні напрями. У свою чергу, професійно розроблена концепція готельного spa, індивідуальний стиль і дизайн, що запам'ятовується, а також ретельно продумані деталі – запорука вагомої конкурентної переваги, і, як наслідок, більш коротких термінів окупності проекту.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i/>
          <w:color w:val="000000"/>
          <w:sz w:val="28"/>
          <w:szCs w:val="28"/>
          <w:lang w:val="en-US"/>
        </w:rPr>
        <w:t>S</w:t>
      </w:r>
      <w:r>
        <w:rPr>
          <w:rStyle w:val="FontStyle16"/>
          <w:rFonts w:cs="Times New Roman"/>
          <w:i/>
          <w:color w:val="000000"/>
          <w:sz w:val="28"/>
          <w:szCs w:val="28"/>
          <w:lang w:val="uk-UA"/>
        </w:rPr>
        <w:t>pa-готелі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 – це такий тип розміщення туристів, в якому окрім якісних умов проживання пропонують оздоровитися за допомогою мінеральних вод, комплексу масажів, процедур з лікувальними грязями, гідромасажами, ваннами та великою кількістю інших процедур для всього тіла. </w:t>
      </w:r>
      <w:r>
        <w:rPr>
          <w:rStyle w:val="FontStyle16"/>
          <w:rFonts w:cs="Times New Roman"/>
          <w:color w:val="000000"/>
          <w:sz w:val="28"/>
          <w:szCs w:val="28"/>
          <w:lang w:val="en-US"/>
        </w:rPr>
        <w:t>S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>pa-готелі Карпат дуже популярні серед подорожуючих, адже саме в цій місцевості є велика кількість природних джерел з цілющою водою. А особливий гірський клімат підвищує її дію і сприяє покращенню загального стану організму людини.</w:t>
      </w:r>
    </w:p>
    <w:p w:rsidR="006D5D1B" w:rsidRPr="00F80B85" w:rsidRDefault="006D5D1B">
      <w:pPr>
        <w:pStyle w:val="a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На базі основної класифікації світового SPA базується формування різного роду spa-підприємств, таких як spa-курорти та spa-готелі. Але слід розуміти різницю між поняттями готель зі SPA (зоною, центром) і spa-готель. Якщо в першому випадку маємо на увазі наявність додаткового сервісу організованого за принципом “курорт одного дня” (Day-SPA в складі: салон краси, косметологічний кабінет, банний SPA, кілька спеціалізованих SPA кабінетів, зона фітнесу), то spa-готель – це підприємство індустрії гостинності орієнтоване на надання комплексу послуг, заснованих на використанні традиційних методів курортології та натуротерапії в цілях профілактики, оздоровчого відпочинку та косметологічної корекції.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en-US"/>
        </w:rPr>
        <w:t>S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>pa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-готелі в Карпатах пропонують різні умови проживання в номерах класу “Стандарт”, “Покращений стандарт”, “Напівлюкс”, “Люкс”, дво- та трикімнатних номерах з усіма зручностями. Навіть самі прості кімнати мають все необхідне для безтурботного перебування на курорті. Деякі зі 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>spa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-готелів готові розмістити гостей більше ніж в ста комфортабельних кімнатах, а деякі 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близько двадцяти номерів. Кожен з них відрізняється набором пропонованих послуг, які звичайні готелі Карпат не надають.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Так, на території деяких spa-готелів є невеликі, але власні бювети мінеральних вод, величезні басейни, сауни, соляні кімнати, працюють косметологічні та масажні кабінети, пропонуються фізіотерапевтичні процедури, водолікування. Зазвичай користування такими послугами включено в вартість проживання. Є можливість відвідування додаткових процедурних кабінетів за окрему плату.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Специфікою написання курсового проекту з дисципліни “</w:t>
      </w:r>
      <w:r>
        <w:rPr>
          <w:rStyle w:val="FontStyle16"/>
          <w:rFonts w:cs="Times New Roman"/>
          <w:bCs/>
          <w:color w:val="000000"/>
          <w:sz w:val="28"/>
          <w:szCs w:val="28"/>
          <w:lang w:val="uk-UA" w:eastAsia="zh-CN"/>
        </w:rPr>
        <w:t>Проектування і дизайн готельних</w:t>
      </w: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 xml:space="preserve"> комплексів” є закріплення у студентів знань та набуття навиків роботи з комп'ютерними програмами проектування щодо основ проектування будівництва, планувальної організації рекреаційної території, критеріїв вибору місця розташування будинків і споруд та їхніх характерних ознак, сучасних і традиційних технологій будівництва, класифікації споруд, конструктивних елементів, класифікації будівельних матеріалів, декоративних елементів; організації внутрішнього простору — інтер'єру та прийомів та вимог дизайну, що сприяють відновленню та розвитку фізичних і духовних сил людини, її працездатності.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lang w:val="uk-UA"/>
        </w:rPr>
        <w:t>ArchiCAD — графічний програмний пакет САПР для архітекторів, створений угорською компанією Graphisoft. Призначений для проектування архітектурно-будівельних конструкцій і рішень, а також елементів ландшафту, дизайну тощо.</w:t>
      </w:r>
    </w:p>
    <w:p w:rsidR="006D5D1B" w:rsidRPr="00F80B85" w:rsidRDefault="006D5D1B">
      <w:pPr>
        <w:pStyle w:val="a"/>
        <w:spacing w:after="0" w:line="360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 процесі проектування </w:t>
      </w: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проектувальник на початкових етапах роботи з проектом фактично “будує” будинок, використовуючи при цьому інструменти, що мають свої повні аналоги в реальності: стіни, перекриття, вікна, сходи, різноманітні об'єкти тощо. Після завершення робіт над “віртуальною будівлею”, проектувальник має можливість отримувати різноманітну інформацію щодо спроектованого об'єкту: плани поверхів, фасади, розрізи, експлікації, специфікації, презентаційні матеріали та ін.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 w:eastAsia="zh-CN"/>
        </w:rPr>
        <w:t>В курсових проектах за допомогою використання програми ArchiCAD спроектовано приміщення готельних комплексів, які є частиною зони SPA. Дизайн-проекти полягають у створенні графічного вигляду цих приміщень та пропозиції стилів, для оформлення даних приміщень.</w:t>
      </w:r>
    </w:p>
    <w:p w:rsidR="006D5D1B" w:rsidRDefault="006D5D1B">
      <w:pPr>
        <w:pStyle w:val="a2"/>
        <w:shd w:val="clear" w:color="auto" w:fill="FFFFFF"/>
        <w:spacing w:before="0" w:after="0" w:line="360" w:lineRule="auto"/>
        <w:ind w:firstLine="709"/>
        <w:jc w:val="both"/>
      </w:pPr>
      <w:r>
        <w:rPr>
          <w:rStyle w:val="FontStyle16"/>
          <w:color w:val="000000"/>
          <w:sz w:val="28"/>
          <w:szCs w:val="28"/>
          <w:lang w:eastAsia="zh-CN"/>
        </w:rPr>
        <w:t xml:space="preserve">Головна перевага технологій, використаних в </w:t>
      </w:r>
      <w:bookmarkStart w:id="0" w:name="__DdeLink__1400_447799031"/>
      <w:r>
        <w:rPr>
          <w:rStyle w:val="FontStyle16"/>
          <w:color w:val="000000"/>
          <w:sz w:val="28"/>
          <w:szCs w:val="28"/>
          <w:lang w:eastAsia="zh-CN"/>
        </w:rPr>
        <w:t>ArchiCAD</w:t>
      </w:r>
      <w:bookmarkEnd w:id="0"/>
      <w:r>
        <w:rPr>
          <w:rStyle w:val="FontStyle16"/>
          <w:color w:val="000000"/>
          <w:sz w:val="28"/>
          <w:szCs w:val="28"/>
          <w:lang w:eastAsia="zh-CN"/>
        </w:rPr>
        <w:t>, полягає в колосальної економії часу на випуск проектної документації. Створення і редагування проектів відрізняються швидкістю і зручністю завдяки значній бібліотеці елементів, а також можливості миттєво перебудовувати будинок у зв'язку з внесеними змінами.</w:t>
      </w:r>
    </w:p>
    <w:p w:rsidR="006D5D1B" w:rsidRDefault="006D5D1B">
      <w:pPr>
        <w:pStyle w:val="BodyText"/>
        <w:spacing w:after="0" w:line="360" w:lineRule="auto"/>
        <w:ind w:firstLine="709"/>
        <w:jc w:val="both"/>
      </w:pPr>
      <w:r w:rsidRPr="00B513C2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408pt;height:264.75pt;visibility:visible">
            <v:imagedata r:id="rId5" o:title=""/>
          </v:shape>
        </w:pict>
      </w:r>
    </w:p>
    <w:p w:rsidR="006D5D1B" w:rsidRDefault="006D5D1B">
      <w:pPr>
        <w:pStyle w:val="a"/>
        <w:tabs>
          <w:tab w:val="left" w:pos="2940"/>
        </w:tabs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Рисунок 1 – Графічний проект масажного кабінету в готельному приміщенні (spa-зона).</w:t>
      </w:r>
    </w:p>
    <w:p w:rsidR="006D5D1B" w:rsidRDefault="006D5D1B">
      <w:pPr>
        <w:pStyle w:val="a"/>
        <w:tabs>
          <w:tab w:val="left" w:pos="2940"/>
        </w:tabs>
        <w:spacing w:after="0" w:line="360" w:lineRule="auto"/>
        <w:ind w:firstLine="709"/>
        <w:jc w:val="center"/>
      </w:pPr>
    </w:p>
    <w:p w:rsidR="006D5D1B" w:rsidRDefault="006D5D1B">
      <w:pPr>
        <w:pStyle w:val="a"/>
        <w:tabs>
          <w:tab w:val="left" w:pos="2940"/>
        </w:tabs>
        <w:spacing w:after="0" w:line="360" w:lineRule="auto"/>
        <w:ind w:firstLine="709"/>
        <w:jc w:val="center"/>
      </w:pPr>
      <w:r w:rsidRPr="00B513C2">
        <w:rPr>
          <w:noProof/>
          <w:lang w:val="en-US"/>
        </w:rPr>
        <w:pict>
          <v:shape id="_x0000_i1026" type="#_x0000_t75" style="width:387.75pt;height:247.5pt;visibility:visible">
            <v:imagedata r:id="rId6" o:title=""/>
          </v:shape>
        </w:pic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Рисунок 2 – Графічний проект тренажерного залу в готельному приміщенні (зона здоров’я)</w:t>
      </w:r>
    </w:p>
    <w:p w:rsidR="006D5D1B" w:rsidRPr="00F80B85" w:rsidRDefault="006D5D1B">
      <w:pPr>
        <w:pStyle w:val="a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Сучасний готель середньої і великої місткості, високого рівня комфорту є складним комплексним об'єктом, до складу якого входить значна кількість приміщень різного функціонального призначення. В даній роботі дано обґрунтування доцільності організації spa-готелів на територіях туристичних дестинацій ОТГ Івано-Франківщини;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визначено: приклади стилістичного спрямування готельного </w:t>
      </w:r>
      <w:bookmarkStart w:id="1" w:name="__DdeLink__1249_715875890"/>
      <w:r>
        <w:rPr>
          <w:rFonts w:ascii="Times New Roman" w:hAnsi="Times New Roman" w:cs="Times New Roman"/>
          <w:sz w:val="28"/>
          <w:szCs w:val="28"/>
        </w:rPr>
        <w:t>spa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(розробка концепції), планування і оформлення інтер'єрів окремих кабінетів і приміщень (дизайн проекту), 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>максимально ефективне та функціональне розміщення спеціалізованого обладнання.</w:t>
      </w:r>
    </w:p>
    <w:p w:rsidR="006D5D1B" w:rsidRPr="00F80B85" w:rsidRDefault="006D5D1B">
      <w:pPr>
        <w:pStyle w:val="a"/>
        <w:spacing w:after="0" w:line="360" w:lineRule="auto"/>
        <w:ind w:firstLine="709"/>
        <w:jc w:val="center"/>
        <w:rPr>
          <w:lang w:val="uk-UA"/>
        </w:rPr>
      </w:pPr>
    </w:p>
    <w:p w:rsidR="006D5D1B" w:rsidRPr="00F80B85" w:rsidRDefault="006D5D1B" w:rsidP="00F80B85">
      <w:pPr>
        <w:pStyle w:val="a"/>
        <w:spacing w:after="0" w:line="360" w:lineRule="auto"/>
        <w:ind w:firstLine="709"/>
        <w:rPr>
          <w:b/>
          <w:lang w:val="uk-UA"/>
        </w:rPr>
      </w:pPr>
      <w:r w:rsidRPr="00F80B85">
        <w:rPr>
          <w:rStyle w:val="FontStyle16"/>
          <w:rFonts w:cs="Times New Roman"/>
          <w:b/>
          <w:color w:val="000000"/>
          <w:sz w:val="28"/>
          <w:szCs w:val="28"/>
          <w:lang w:val="uk-UA"/>
        </w:rPr>
        <w:t>Література:</w:t>
      </w:r>
    </w:p>
    <w:p w:rsidR="006D5D1B" w:rsidRPr="00F80B85" w:rsidRDefault="006D5D1B">
      <w:pPr>
        <w:pStyle w:val="BodyText"/>
        <w:spacing w:after="0" w:line="360" w:lineRule="auto"/>
        <w:ind w:firstLine="709"/>
        <w:jc w:val="both"/>
        <w:rPr>
          <w:lang w:val="uk-UA"/>
        </w:rPr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1. Коробейникова Я. С., Долгопола Г. Є., Зоріна Г. П. Кількісна оцінка закладів гостинності місцевих територіальних громад для розробки інвестиційних проектів. </w:t>
      </w:r>
      <w:r>
        <w:rPr>
          <w:rStyle w:val="FontStyle16"/>
          <w:rFonts w:cs="Times New Roman"/>
          <w:color w:val="000000"/>
          <w:spacing w:val="-2"/>
          <w:sz w:val="28"/>
          <w:szCs w:val="28"/>
          <w:lang w:val="uk-UA"/>
        </w:rPr>
        <w:t>/</w:t>
      </w:r>
      <w:r>
        <w:rPr>
          <w:rStyle w:val="FontStyle16"/>
          <w:rFonts w:cs="Times New Roman"/>
          <w:color w:val="000000"/>
          <w:sz w:val="28"/>
          <w:szCs w:val="28"/>
          <w:lang w:val="uk-UA"/>
        </w:rPr>
        <w:t xml:space="preserve"> Обліково-аналітичне та організаційно-економічне забезпечення розвитку місцевих громад: збірник тез доповідей ІІ Міжнародної науково-практичної конференції 19 квітня 2018 року, м. Сєвєродонецьк. – Сєвєродонецьк: ПП "Поліграф-Сервіс", 2018. – 136 с.</w:t>
      </w:r>
    </w:p>
    <w:p w:rsidR="006D5D1B" w:rsidRDefault="006D5D1B">
      <w:pPr>
        <w:pStyle w:val="a"/>
        <w:spacing w:after="0" w:line="360" w:lineRule="auto"/>
        <w:ind w:firstLine="709"/>
        <w:jc w:val="both"/>
      </w:pPr>
      <w:r>
        <w:rPr>
          <w:rStyle w:val="FontStyle16"/>
          <w:rFonts w:cs="Times New Roman"/>
          <w:color w:val="000000"/>
          <w:sz w:val="28"/>
          <w:szCs w:val="28"/>
          <w:lang w:val="uk-UA"/>
        </w:rPr>
        <w:t>2. https://www.homify.ru/komnaty/spa-stil-aziatskiy</w:t>
      </w:r>
    </w:p>
    <w:sectPr w:rsidR="006D5D1B" w:rsidSect="00AE0521">
      <w:pgSz w:w="11906" w:h="16838"/>
      <w:pgMar w:top="1134" w:right="1134" w:bottom="1134" w:left="1134" w:header="0" w:footer="0" w:gutter="0"/>
      <w:cols w:space="720"/>
      <w:formProt w:val="0"/>
      <w:docGrid w:linePitch="42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C188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521"/>
    <w:rsid w:val="00541E0A"/>
    <w:rsid w:val="006D5D1B"/>
    <w:rsid w:val="00AE0521"/>
    <w:rsid w:val="00B513C2"/>
    <w:rsid w:val="00F8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a"/>
    <w:next w:val="BodyText"/>
    <w:link w:val="Heading2Char"/>
    <w:uiPriority w:val="99"/>
    <w:qFormat/>
    <w:rsid w:val="00AE0521"/>
    <w:pPr>
      <w:numPr>
        <w:ilvl w:val="1"/>
        <w:numId w:val="1"/>
      </w:numPr>
      <w:spacing w:before="28" w:after="28" w:line="10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Heading3">
    <w:name w:val="heading 3"/>
    <w:basedOn w:val="a"/>
    <w:next w:val="BodyText"/>
    <w:link w:val="Heading3Char"/>
    <w:uiPriority w:val="99"/>
    <w:qFormat/>
    <w:rsid w:val="00AE0521"/>
    <w:pPr>
      <w:numPr>
        <w:ilvl w:val="2"/>
        <w:numId w:val="1"/>
      </w:num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E05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AE0521"/>
    <w:rPr>
      <w:rFonts w:ascii="Cambria" w:hAnsi="Cambria" w:cs="Times New Roman"/>
      <w:b/>
      <w:bCs/>
      <w:sz w:val="26"/>
      <w:szCs w:val="26"/>
    </w:rPr>
  </w:style>
  <w:style w:type="paragraph" w:customStyle="1" w:styleId="a">
    <w:name w:val="Базовый"/>
    <w:uiPriority w:val="99"/>
    <w:rsid w:val="00AE0521"/>
    <w:pPr>
      <w:suppressAutoHyphens/>
      <w:spacing w:after="160" w:line="252" w:lineRule="auto"/>
    </w:pPr>
    <w:rPr>
      <w:rFonts w:eastAsia="SimSun" w:cs="Calibri"/>
      <w:color w:val="00000A"/>
      <w:lang w:val="ru-RU"/>
    </w:rPr>
  </w:style>
  <w:style w:type="character" w:customStyle="1" w:styleId="-">
    <w:name w:val="Интернет-ссылка"/>
    <w:basedOn w:val="DefaultParagraphFont"/>
    <w:uiPriority w:val="99"/>
    <w:rsid w:val="00AE0521"/>
    <w:rPr>
      <w:rFonts w:cs="Times New Roman"/>
      <w:color w:val="0000FF"/>
      <w:u w:val="single"/>
      <w:lang w:val="ru-RU" w:eastAsia="ru-RU"/>
    </w:rPr>
  </w:style>
  <w:style w:type="character" w:customStyle="1" w:styleId="2">
    <w:name w:val="Заголовок 2 Знак"/>
    <w:basedOn w:val="DefaultParagraphFont"/>
    <w:uiPriority w:val="99"/>
    <w:rsid w:val="00AE052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">
    <w:name w:val="Заголовок 3 Знак"/>
    <w:basedOn w:val="DefaultParagraphFont"/>
    <w:uiPriority w:val="99"/>
    <w:rsid w:val="00AE05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tocnumber">
    <w:name w:val="tocnumber"/>
    <w:basedOn w:val="DefaultParagraphFont"/>
    <w:uiPriority w:val="99"/>
    <w:rsid w:val="00AE0521"/>
    <w:rPr>
      <w:rFonts w:cs="Times New Roman"/>
    </w:rPr>
  </w:style>
  <w:style w:type="character" w:customStyle="1" w:styleId="toctext">
    <w:name w:val="toctext"/>
    <w:basedOn w:val="DefaultParagraphFont"/>
    <w:uiPriority w:val="99"/>
    <w:rsid w:val="00AE0521"/>
    <w:rPr>
      <w:rFonts w:cs="Times New Roman"/>
    </w:rPr>
  </w:style>
  <w:style w:type="character" w:customStyle="1" w:styleId="mw-headline">
    <w:name w:val="mw-headline"/>
    <w:basedOn w:val="DefaultParagraphFont"/>
    <w:uiPriority w:val="99"/>
    <w:rsid w:val="00AE0521"/>
    <w:rPr>
      <w:rFonts w:cs="Times New Roman"/>
    </w:rPr>
  </w:style>
  <w:style w:type="character" w:customStyle="1" w:styleId="ListLabel1">
    <w:name w:val="ListLabel 1"/>
    <w:uiPriority w:val="99"/>
    <w:rsid w:val="00AE0521"/>
    <w:rPr>
      <w:sz w:val="20"/>
    </w:rPr>
  </w:style>
  <w:style w:type="character" w:customStyle="1" w:styleId="BodyTextChar">
    <w:name w:val="Body Text Char"/>
    <w:basedOn w:val="DefaultParagraphFont"/>
    <w:uiPriority w:val="99"/>
    <w:rsid w:val="00AE0521"/>
    <w:rPr>
      <w:rFonts w:cs="Times New Roman"/>
    </w:rPr>
  </w:style>
  <w:style w:type="character" w:customStyle="1" w:styleId="TitleChar">
    <w:name w:val="Title Char"/>
    <w:basedOn w:val="DefaultParagraphFont"/>
    <w:uiPriority w:val="99"/>
    <w:rsid w:val="00AE0521"/>
    <w:rPr>
      <w:rFonts w:ascii="Cambria" w:hAnsi="Cambria" w:cs="Times New Roman"/>
      <w:b/>
      <w:bCs/>
      <w:sz w:val="32"/>
      <w:szCs w:val="32"/>
    </w:rPr>
  </w:style>
  <w:style w:type="character" w:customStyle="1" w:styleId="BodyTextIndentChar">
    <w:name w:val="Body Text Indent Char"/>
    <w:basedOn w:val="DefaultParagraphFont"/>
    <w:uiPriority w:val="99"/>
    <w:rsid w:val="00AE0521"/>
    <w:rPr>
      <w:rFonts w:cs="Times New Roman"/>
    </w:rPr>
  </w:style>
  <w:style w:type="character" w:customStyle="1" w:styleId="ListLabel2">
    <w:name w:val="ListLabel 2"/>
    <w:uiPriority w:val="99"/>
    <w:rsid w:val="00AE0521"/>
  </w:style>
  <w:style w:type="character" w:customStyle="1" w:styleId="Char">
    <w:name w:val="Обычный (веб) Char"/>
    <w:uiPriority w:val="99"/>
    <w:rsid w:val="00AE0521"/>
    <w:rPr>
      <w:rFonts w:ascii="Times New Roman" w:eastAsia="SimSun" w:hAnsi="Times New Roman"/>
      <w:sz w:val="24"/>
      <w:lang w:val="en-US" w:eastAsia="zh-CN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character" w:customStyle="1" w:styleId="FontStyle16">
    <w:name w:val="Font Style16"/>
    <w:uiPriority w:val="99"/>
    <w:rsid w:val="00AE0521"/>
    <w:rPr>
      <w:rFonts w:ascii="Times New Roman" w:hAnsi="Times New Roman"/>
      <w:sz w:val="20"/>
    </w:rPr>
  </w:style>
  <w:style w:type="paragraph" w:customStyle="1" w:styleId="a0">
    <w:name w:val="Заголовок"/>
    <w:basedOn w:val="a"/>
    <w:next w:val="BodyText"/>
    <w:uiPriority w:val="99"/>
    <w:rsid w:val="00AE0521"/>
    <w:pPr>
      <w:keepNext/>
      <w:spacing w:before="240" w:after="120"/>
    </w:pPr>
    <w:rPr>
      <w:rFonts w:ascii="Arial" w:eastAsia="Times New Roman" w:hAnsi="Arial" w:cs="Mangal"/>
      <w:sz w:val="28"/>
      <w:szCs w:val="28"/>
    </w:rPr>
  </w:style>
  <w:style w:type="paragraph" w:styleId="BodyText">
    <w:name w:val="Body Text"/>
    <w:basedOn w:val="a"/>
    <w:link w:val="BodyTextChar1"/>
    <w:uiPriority w:val="99"/>
    <w:rsid w:val="00AE0521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505B20"/>
  </w:style>
  <w:style w:type="paragraph" w:styleId="List">
    <w:name w:val="List"/>
    <w:basedOn w:val="BodyText"/>
    <w:uiPriority w:val="99"/>
    <w:rsid w:val="00AE0521"/>
    <w:rPr>
      <w:rFonts w:cs="Mangal"/>
    </w:rPr>
  </w:style>
  <w:style w:type="paragraph" w:styleId="Title">
    <w:name w:val="Title"/>
    <w:basedOn w:val="a"/>
    <w:link w:val="TitleChar1"/>
    <w:uiPriority w:val="99"/>
    <w:qFormat/>
    <w:rsid w:val="00AE0521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10"/>
    <w:rsid w:val="00505B2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a"/>
    <w:uiPriority w:val="99"/>
    <w:rsid w:val="00AE0521"/>
    <w:pPr>
      <w:ind w:left="220" w:hanging="220"/>
    </w:pPr>
  </w:style>
  <w:style w:type="paragraph" w:styleId="IndexHeading">
    <w:name w:val="index heading"/>
    <w:basedOn w:val="a"/>
    <w:uiPriority w:val="99"/>
    <w:rsid w:val="00AE0521"/>
    <w:pPr>
      <w:suppressLineNumbers/>
    </w:pPr>
    <w:rPr>
      <w:rFonts w:cs="Mangal"/>
    </w:rPr>
  </w:style>
  <w:style w:type="paragraph" w:customStyle="1" w:styleId="a1">
    <w:name w:val="Заглавие"/>
    <w:basedOn w:val="a"/>
    <w:next w:val="Subtitle"/>
    <w:uiPriority w:val="99"/>
    <w:rsid w:val="00AE0521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Subtitle">
    <w:name w:val="Subtitle"/>
    <w:basedOn w:val="a0"/>
    <w:next w:val="BodyText"/>
    <w:link w:val="SubtitleChar"/>
    <w:uiPriority w:val="99"/>
    <w:qFormat/>
    <w:rsid w:val="00AE052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505B20"/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a"/>
    <w:uiPriority w:val="99"/>
    <w:rsid w:val="00AE0521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a"/>
    <w:link w:val="BodyTextIndentChar1"/>
    <w:uiPriority w:val="99"/>
    <w:rsid w:val="00AE0521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05B20"/>
  </w:style>
  <w:style w:type="paragraph" w:customStyle="1" w:styleId="a2">
    <w:name w:val="Звичайний (веб)"/>
    <w:basedOn w:val="a"/>
    <w:uiPriority w:val="99"/>
    <w:rsid w:val="00AE0521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7</Pages>
  <Words>7054</Words>
  <Characters>4022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Климчук</dc:creator>
  <cp:keywords/>
  <dc:description/>
  <cp:lastModifiedBy>Admin</cp:lastModifiedBy>
  <cp:revision>9</cp:revision>
  <dcterms:created xsi:type="dcterms:W3CDTF">2017-09-27T09:14:00Z</dcterms:created>
  <dcterms:modified xsi:type="dcterms:W3CDTF">2018-11-19T16:05:00Z</dcterms:modified>
</cp:coreProperties>
</file>