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3FB" w:rsidRPr="0073500F" w:rsidRDefault="006643FB" w:rsidP="005A3FE7">
      <w:pPr>
        <w:ind w:firstLine="709"/>
        <w:jc w:val="right"/>
        <w:rPr>
          <w:b/>
          <w:sz w:val="28"/>
          <w:szCs w:val="28"/>
          <w:lang w:val="ru-RU"/>
        </w:rPr>
      </w:pPr>
      <w:r w:rsidRPr="0073500F">
        <w:rPr>
          <w:b/>
          <w:sz w:val="28"/>
          <w:szCs w:val="28"/>
        </w:rPr>
        <w:t>В.П. Калінчик,</w:t>
      </w:r>
      <w:r w:rsidRPr="0073500F">
        <w:rPr>
          <w:b/>
          <w:sz w:val="28"/>
          <w:szCs w:val="28"/>
          <w:lang w:val="ru-RU"/>
        </w:rPr>
        <w:t xml:space="preserve"> О.Л. Саблін </w:t>
      </w:r>
    </w:p>
    <w:p w:rsidR="006643FB" w:rsidRPr="0073500F" w:rsidRDefault="006643FB" w:rsidP="005A3FE7">
      <w:pPr>
        <w:ind w:firstLine="709"/>
        <w:jc w:val="right"/>
        <w:rPr>
          <w:b/>
          <w:sz w:val="28"/>
          <w:szCs w:val="28"/>
        </w:rPr>
      </w:pPr>
      <w:r w:rsidRPr="0073500F">
        <w:rPr>
          <w:b/>
          <w:sz w:val="28"/>
          <w:szCs w:val="28"/>
        </w:rPr>
        <w:t>(Київ, Україна)</w:t>
      </w:r>
    </w:p>
    <w:p w:rsidR="006643FB" w:rsidRDefault="006643FB" w:rsidP="005A3FE7">
      <w:pPr>
        <w:pStyle w:val="BodyTextIndent"/>
        <w:ind w:firstLine="709"/>
        <w:jc w:val="center"/>
        <w:rPr>
          <w:b/>
          <w:szCs w:val="28"/>
        </w:rPr>
      </w:pPr>
    </w:p>
    <w:p w:rsidR="006643FB" w:rsidRPr="00B419FD" w:rsidRDefault="006643FB" w:rsidP="005A3FE7">
      <w:pPr>
        <w:pStyle w:val="BodyTextIndent"/>
        <w:ind w:firstLine="709"/>
        <w:jc w:val="center"/>
        <w:rPr>
          <w:b/>
          <w:szCs w:val="28"/>
          <w:lang w:val="ru-RU"/>
        </w:rPr>
      </w:pPr>
      <w:r>
        <w:rPr>
          <w:b/>
          <w:szCs w:val="28"/>
        </w:rPr>
        <w:t xml:space="preserve">ОСНОВНІ </w:t>
      </w:r>
      <w:r w:rsidRPr="00B419FD">
        <w:rPr>
          <w:b/>
          <w:szCs w:val="28"/>
        </w:rPr>
        <w:t xml:space="preserve"> ПОЛОЖЕННЯ ЩОДО ПОБУДОВИ СИСТЕМ ОБЛІКУ ЕЛЕК</w:t>
      </w:r>
      <w:r>
        <w:rPr>
          <w:b/>
          <w:szCs w:val="28"/>
        </w:rPr>
        <w:t>ТРОЕНЕРГІЇ В УМОВАХ ЕНЕРГОРИНКУ</w:t>
      </w:r>
    </w:p>
    <w:p w:rsidR="006643FB" w:rsidRPr="00B419FD" w:rsidRDefault="006643FB" w:rsidP="005A3FE7">
      <w:pPr>
        <w:pStyle w:val="BodyTextIndent"/>
        <w:ind w:firstLine="709"/>
        <w:jc w:val="center"/>
        <w:rPr>
          <w:b/>
          <w:szCs w:val="28"/>
          <w:lang w:val="ru-RU"/>
        </w:rPr>
      </w:pPr>
      <w:bookmarkStart w:id="0" w:name="_GoBack"/>
      <w:bookmarkEnd w:id="0"/>
    </w:p>
    <w:p w:rsidR="006643FB" w:rsidRDefault="006643FB" w:rsidP="00B419FD">
      <w:pPr>
        <w:spacing w:line="360" w:lineRule="auto"/>
        <w:ind w:firstLine="708"/>
        <w:jc w:val="both"/>
        <w:rPr>
          <w:bCs/>
          <w:sz w:val="28"/>
          <w:szCs w:val="28"/>
          <w:shd w:val="clear" w:color="auto" w:fill="FFFFFF"/>
        </w:rPr>
      </w:pPr>
      <w:r>
        <w:rPr>
          <w:bCs/>
          <w:sz w:val="28"/>
          <w:szCs w:val="28"/>
          <w:shd w:val="clear" w:color="auto" w:fill="FFFFFF"/>
        </w:rPr>
        <w:t>Робота енергетичної галузі в умовах створення енергоринку висуває вимоги до систем обліку та до її рівня автоматизації, точності, надійності та цілісності.</w:t>
      </w:r>
    </w:p>
    <w:p w:rsidR="006643FB" w:rsidRDefault="006643FB" w:rsidP="00B419FD">
      <w:pPr>
        <w:spacing w:line="360" w:lineRule="auto"/>
        <w:ind w:firstLine="708"/>
        <w:jc w:val="both"/>
        <w:rPr>
          <w:bCs/>
          <w:sz w:val="28"/>
          <w:szCs w:val="28"/>
          <w:shd w:val="clear" w:color="auto" w:fill="FFFFFF"/>
        </w:rPr>
      </w:pPr>
      <w:r>
        <w:rPr>
          <w:bCs/>
          <w:sz w:val="28"/>
          <w:szCs w:val="28"/>
          <w:shd w:val="clear" w:color="auto" w:fill="FFFFFF"/>
        </w:rPr>
        <w:t>Точність та достовірність отриманої інформації в системі визначається засобами інформаційно-вимірювальної техніки та принципами їх використання.</w:t>
      </w:r>
    </w:p>
    <w:p w:rsidR="006643FB" w:rsidRDefault="006643FB" w:rsidP="00B419FD">
      <w:pPr>
        <w:spacing w:line="360" w:lineRule="auto"/>
        <w:ind w:firstLine="708"/>
        <w:jc w:val="both"/>
        <w:rPr>
          <w:sz w:val="28"/>
        </w:rPr>
      </w:pPr>
      <w:r>
        <w:rPr>
          <w:sz w:val="28"/>
        </w:rPr>
        <w:t>До о</w:t>
      </w:r>
      <w:r w:rsidRPr="00CD619B">
        <w:rPr>
          <w:sz w:val="28"/>
        </w:rPr>
        <w:t>сновни</w:t>
      </w:r>
      <w:r>
        <w:rPr>
          <w:sz w:val="28"/>
        </w:rPr>
        <w:t xml:space="preserve">х характерних </w:t>
      </w:r>
      <w:r w:rsidRPr="00CD619B">
        <w:rPr>
          <w:sz w:val="28"/>
        </w:rPr>
        <w:t>показник</w:t>
      </w:r>
      <w:r>
        <w:rPr>
          <w:sz w:val="28"/>
        </w:rPr>
        <w:t xml:space="preserve">ів щодо </w:t>
      </w:r>
      <w:r w:rsidRPr="00CD619B">
        <w:rPr>
          <w:sz w:val="28"/>
        </w:rPr>
        <w:t xml:space="preserve">використання інформаційно-вимірювальної техніки </w:t>
      </w:r>
      <w:r>
        <w:rPr>
          <w:sz w:val="28"/>
        </w:rPr>
        <w:t xml:space="preserve">відносять точність, достовірність, одночасність </w:t>
      </w:r>
      <w:r>
        <w:rPr>
          <w:bCs/>
          <w:sz w:val="28"/>
          <w:szCs w:val="28"/>
          <w:shd w:val="clear" w:color="auto" w:fill="FFFFFF"/>
        </w:rPr>
        <w:t>[1,3</w:t>
      </w:r>
      <w:r w:rsidRPr="00650196">
        <w:rPr>
          <w:bCs/>
          <w:sz w:val="28"/>
          <w:szCs w:val="28"/>
          <w:shd w:val="clear" w:color="auto" w:fill="FFFFFF"/>
        </w:rPr>
        <w:t>]</w:t>
      </w:r>
      <w:r>
        <w:rPr>
          <w:sz w:val="28"/>
        </w:rPr>
        <w:t>.</w:t>
      </w:r>
    </w:p>
    <w:p w:rsidR="006643FB" w:rsidRDefault="006643FB" w:rsidP="00B419FD">
      <w:pPr>
        <w:spacing w:line="360" w:lineRule="auto"/>
        <w:ind w:firstLine="708"/>
        <w:jc w:val="both"/>
        <w:rPr>
          <w:sz w:val="28"/>
        </w:rPr>
      </w:pPr>
      <w:r>
        <w:rPr>
          <w:sz w:val="28"/>
        </w:rPr>
        <w:t>Точність – якість отриманої інформації з вимірювальних приладів обліку електроенергії;</w:t>
      </w:r>
    </w:p>
    <w:p w:rsidR="006643FB" w:rsidRDefault="006643FB" w:rsidP="00B419FD">
      <w:pPr>
        <w:spacing w:line="360" w:lineRule="auto"/>
        <w:ind w:firstLine="708"/>
        <w:jc w:val="both"/>
        <w:rPr>
          <w:sz w:val="28"/>
        </w:rPr>
      </w:pPr>
      <w:r>
        <w:rPr>
          <w:sz w:val="28"/>
        </w:rPr>
        <w:t>Достовірність – автоматизація процесу отримання якісної інформації з вимірювальних приладів обліку електроенергії та їх верифікація;</w:t>
      </w:r>
    </w:p>
    <w:p w:rsidR="006643FB" w:rsidRDefault="006643FB" w:rsidP="00B419FD">
      <w:pPr>
        <w:spacing w:line="360" w:lineRule="auto"/>
        <w:ind w:firstLine="708"/>
        <w:jc w:val="both"/>
        <w:rPr>
          <w:sz w:val="28"/>
        </w:rPr>
      </w:pPr>
      <w:r>
        <w:rPr>
          <w:sz w:val="28"/>
        </w:rPr>
        <w:t>Одночасність – процес синхронності отримання інформація вимірювальними приладами обліку електроенергії в точках обліку.</w:t>
      </w:r>
    </w:p>
    <w:p w:rsidR="006643FB" w:rsidRPr="00DB330F" w:rsidRDefault="006643FB" w:rsidP="00B419FD">
      <w:pPr>
        <w:spacing w:line="360" w:lineRule="auto"/>
        <w:ind w:firstLine="708"/>
        <w:jc w:val="both"/>
        <w:rPr>
          <w:sz w:val="28"/>
        </w:rPr>
      </w:pPr>
      <w:r>
        <w:rPr>
          <w:sz w:val="28"/>
        </w:rPr>
        <w:t xml:space="preserve">Основною метою </w:t>
      </w:r>
      <w:r w:rsidRPr="00452EC9">
        <w:rPr>
          <w:sz w:val="28"/>
        </w:rPr>
        <w:t>вдосконалення системи обліку електр</w:t>
      </w:r>
      <w:r>
        <w:rPr>
          <w:sz w:val="28"/>
        </w:rPr>
        <w:t xml:space="preserve">ичної енергії також вважають саме </w:t>
      </w:r>
      <w:r w:rsidRPr="00452EC9">
        <w:rPr>
          <w:sz w:val="28"/>
        </w:rPr>
        <w:t>отримання достовірного балансу виробництва, передачі, розподілу і споживання електричної енергії в межах держави, а також показників якості електричної енерг</w:t>
      </w:r>
      <w:r>
        <w:rPr>
          <w:sz w:val="28"/>
        </w:rPr>
        <w:t xml:space="preserve">ії, що споживається </w:t>
      </w:r>
      <w:r w:rsidRPr="00DB330F">
        <w:rPr>
          <w:sz w:val="28"/>
        </w:rPr>
        <w:br/>
      </w:r>
      <w:r>
        <w:rPr>
          <w:sz w:val="28"/>
        </w:rPr>
        <w:t>споживачами</w:t>
      </w:r>
      <w:r>
        <w:rPr>
          <w:bCs/>
          <w:sz w:val="28"/>
          <w:szCs w:val="28"/>
          <w:shd w:val="clear" w:color="auto" w:fill="FFFFFF"/>
        </w:rPr>
        <w:t>[1</w:t>
      </w:r>
      <w:r w:rsidRPr="00650196">
        <w:rPr>
          <w:bCs/>
          <w:sz w:val="28"/>
          <w:szCs w:val="28"/>
          <w:shd w:val="clear" w:color="auto" w:fill="FFFFFF"/>
        </w:rPr>
        <w:t>]</w:t>
      </w:r>
      <w:r>
        <w:rPr>
          <w:sz w:val="28"/>
        </w:rPr>
        <w:t>.</w:t>
      </w:r>
    </w:p>
    <w:p w:rsidR="006643FB" w:rsidRPr="004F4A70" w:rsidRDefault="006643FB" w:rsidP="00B419FD">
      <w:pPr>
        <w:spacing w:line="360" w:lineRule="auto"/>
        <w:ind w:firstLine="708"/>
        <w:jc w:val="both"/>
        <w:rPr>
          <w:sz w:val="28"/>
        </w:rPr>
      </w:pPr>
      <w:r>
        <w:rPr>
          <w:sz w:val="28"/>
        </w:rPr>
        <w:t>Але для можливості цілісно виконувати функцію управління режимами енергопостачання із заданими вище характеристиками потрібно також впроваджувати заходи впливу на споживачів електричної енергії при порушенні договору про постачання (користування) електричною енергією.</w:t>
      </w:r>
    </w:p>
    <w:p w:rsidR="006643FB" w:rsidRPr="004F4A70" w:rsidRDefault="006643FB" w:rsidP="00B419FD">
      <w:pPr>
        <w:spacing w:line="360" w:lineRule="auto"/>
        <w:ind w:firstLine="708"/>
        <w:jc w:val="both"/>
        <w:rPr>
          <w:sz w:val="28"/>
        </w:rPr>
      </w:pPr>
    </w:p>
    <w:p w:rsidR="006643FB" w:rsidRPr="004F4A70" w:rsidRDefault="006643FB" w:rsidP="00B419FD">
      <w:pPr>
        <w:pStyle w:val="HTMLPreformatted"/>
        <w:rPr>
          <w:rFonts w:ascii="Times New Roman" w:hAnsi="Times New Roman"/>
          <w:sz w:val="28"/>
          <w:szCs w:val="28"/>
        </w:rPr>
      </w:pPr>
      <w:r w:rsidRPr="00AA52E8">
        <w:rPr>
          <w:rFonts w:ascii="Times New Roman CYR" w:hAnsi="Times New Roman CYR"/>
          <w:b/>
          <w:i/>
          <w:lang w:val="uk-UA"/>
        </w:rPr>
        <w:object w:dxaOrig="9499" w:dyaOrig="100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436.5pt" o:ole="" fillcolor="window">
            <v:imagedata r:id="rId5" o:title=""/>
          </v:shape>
          <o:OLEObject Type="Embed" ProgID="Word.Picture.8" ShapeID="_x0000_i1025" DrawAspect="Content" ObjectID="_1604864518" r:id="rId6"/>
        </w:object>
      </w:r>
      <w:r>
        <w:rPr>
          <w:rFonts w:ascii="Times New Roman" w:hAnsi="Times New Roman"/>
          <w:bCs/>
          <w:sz w:val="28"/>
          <w:szCs w:val="28"/>
          <w:shd w:val="clear" w:color="auto" w:fill="FFFFFF"/>
          <w:lang w:val="uk-UA"/>
        </w:rPr>
        <w:tab/>
      </w:r>
    </w:p>
    <w:p w:rsidR="006643FB" w:rsidRDefault="006643FB" w:rsidP="00B419FD">
      <w:pPr>
        <w:spacing w:before="120"/>
        <w:jc w:val="center"/>
        <w:rPr>
          <w:sz w:val="28"/>
        </w:rPr>
      </w:pPr>
      <w:r w:rsidRPr="003B2B00">
        <w:rPr>
          <w:sz w:val="28"/>
        </w:rPr>
        <w:t xml:space="preserve">Рисунок </w:t>
      </w:r>
      <w:r>
        <w:rPr>
          <w:sz w:val="28"/>
        </w:rPr>
        <w:t>1</w:t>
      </w:r>
      <w:r w:rsidRPr="003B2B00">
        <w:rPr>
          <w:sz w:val="28"/>
        </w:rPr>
        <w:t>. Структурна схема багаторівневої системи обліку</w:t>
      </w:r>
      <w:r>
        <w:rPr>
          <w:bCs/>
          <w:sz w:val="28"/>
          <w:szCs w:val="28"/>
          <w:shd w:val="clear" w:color="auto" w:fill="FFFFFF"/>
        </w:rPr>
        <w:t>[1</w:t>
      </w:r>
      <w:r w:rsidRPr="00650196">
        <w:rPr>
          <w:bCs/>
          <w:sz w:val="28"/>
          <w:szCs w:val="28"/>
          <w:shd w:val="clear" w:color="auto" w:fill="FFFFFF"/>
        </w:rPr>
        <w:t>]</w:t>
      </w:r>
      <w:r>
        <w:rPr>
          <w:bCs/>
          <w:sz w:val="28"/>
          <w:szCs w:val="28"/>
          <w:shd w:val="clear" w:color="auto" w:fill="FFFFFF"/>
        </w:rPr>
        <w:t>.</w:t>
      </w:r>
    </w:p>
    <w:p w:rsidR="006643FB" w:rsidRPr="00D71CEA" w:rsidRDefault="006643FB" w:rsidP="00B419FD">
      <w:pPr>
        <w:spacing w:before="120" w:line="360" w:lineRule="auto"/>
        <w:ind w:firstLine="708"/>
        <w:jc w:val="both"/>
        <w:rPr>
          <w:sz w:val="28"/>
        </w:rPr>
      </w:pPr>
      <w:r w:rsidRPr="00D71CEA">
        <w:rPr>
          <w:sz w:val="28"/>
        </w:rPr>
        <w:t xml:space="preserve">Структура вимірювального комплексу у складі ТС, ТН, ЛЧ і ПО </w:t>
      </w:r>
      <w:r>
        <w:rPr>
          <w:sz w:val="28"/>
        </w:rPr>
        <w:t>є рекомендованою</w:t>
      </w:r>
      <w:r w:rsidRPr="00D71CEA">
        <w:rPr>
          <w:sz w:val="28"/>
        </w:rPr>
        <w:t xml:space="preserve"> як типова для застосування в</w:t>
      </w:r>
      <w:r>
        <w:rPr>
          <w:sz w:val="28"/>
        </w:rPr>
        <w:t xml:space="preserve"> точках обліку, що відносяться </w:t>
      </w:r>
      <w:r w:rsidRPr="00D71CEA">
        <w:rPr>
          <w:sz w:val="28"/>
        </w:rPr>
        <w:t xml:space="preserve">до оптового </w:t>
      </w:r>
      <w:r>
        <w:rPr>
          <w:sz w:val="28"/>
        </w:rPr>
        <w:t>та роздрібного ринку електричної енергії.</w:t>
      </w:r>
      <w:r>
        <w:rPr>
          <w:sz w:val="28"/>
        </w:rPr>
        <w:tab/>
      </w:r>
      <w:r>
        <w:rPr>
          <w:sz w:val="28"/>
        </w:rPr>
        <w:tab/>
      </w:r>
      <w:r>
        <w:rPr>
          <w:sz w:val="28"/>
        </w:rPr>
        <w:tab/>
      </w:r>
    </w:p>
    <w:p w:rsidR="006643FB" w:rsidRDefault="006643FB" w:rsidP="00B419FD">
      <w:pPr>
        <w:spacing w:line="360" w:lineRule="auto"/>
        <w:ind w:firstLine="708"/>
        <w:jc w:val="both"/>
        <w:rPr>
          <w:bCs/>
          <w:sz w:val="28"/>
          <w:szCs w:val="28"/>
          <w:shd w:val="clear" w:color="auto" w:fill="FFFFFF"/>
        </w:rPr>
      </w:pPr>
      <w:r>
        <w:rPr>
          <w:bCs/>
          <w:sz w:val="28"/>
          <w:szCs w:val="28"/>
          <w:shd w:val="clear" w:color="auto" w:fill="FFFFFF"/>
        </w:rPr>
        <w:t>Сама система комерційного обліку електроенергії – комплексна система, що відображає дані лічильників обліку електроенергії в реальному часі та здійснює автоматизовану обробку даних для оперативного інформування суб</w:t>
      </w:r>
      <w:r w:rsidRPr="00FC629C">
        <w:rPr>
          <w:bCs/>
          <w:sz w:val="28"/>
          <w:szCs w:val="28"/>
          <w:shd w:val="clear" w:color="auto" w:fill="FFFFFF"/>
        </w:rPr>
        <w:t>’</w:t>
      </w:r>
      <w:r>
        <w:rPr>
          <w:bCs/>
          <w:sz w:val="28"/>
          <w:szCs w:val="28"/>
          <w:shd w:val="clear" w:color="auto" w:fill="FFFFFF"/>
        </w:rPr>
        <w:t>єктів енергетичного ринку про перетікання електроенергії.</w:t>
      </w:r>
    </w:p>
    <w:p w:rsidR="006643FB" w:rsidRDefault="006643FB" w:rsidP="00B419FD">
      <w:pPr>
        <w:spacing w:line="360" w:lineRule="auto"/>
        <w:ind w:firstLine="375"/>
        <w:jc w:val="both"/>
        <w:rPr>
          <w:bCs/>
          <w:sz w:val="28"/>
          <w:szCs w:val="28"/>
          <w:shd w:val="clear" w:color="auto" w:fill="FFFFFF"/>
        </w:rPr>
      </w:pPr>
      <w:r>
        <w:rPr>
          <w:bCs/>
          <w:sz w:val="28"/>
          <w:szCs w:val="28"/>
          <w:shd w:val="clear" w:color="auto" w:fill="FFFFFF"/>
        </w:rPr>
        <w:tab/>
        <w:t>Для зазначення точності вимірювання електроенергії системами обліку необхідно визначати похибки вимірювання точок обліку на різних рівнях та похибки оброблення інформації, а також синхронність вимірювання.</w:t>
      </w:r>
    </w:p>
    <w:p w:rsidR="006643FB" w:rsidRDefault="006643FB" w:rsidP="00B419FD">
      <w:pPr>
        <w:spacing w:line="360" w:lineRule="auto"/>
        <w:ind w:firstLine="708"/>
        <w:jc w:val="both"/>
        <w:rPr>
          <w:bCs/>
          <w:sz w:val="28"/>
          <w:szCs w:val="28"/>
          <w:shd w:val="clear" w:color="auto" w:fill="FFFFFF"/>
        </w:rPr>
      </w:pPr>
      <w:r>
        <w:rPr>
          <w:bCs/>
          <w:sz w:val="28"/>
          <w:szCs w:val="28"/>
          <w:shd w:val="clear" w:color="auto" w:fill="FFFFFF"/>
        </w:rPr>
        <w:t xml:space="preserve">Похибки вимірювання на різних відомих рівнях системи обліку повинні бути узгодженні відповідними формулами та відносно відомої спожитої потужності. </w:t>
      </w:r>
    </w:p>
    <w:p w:rsidR="006643FB" w:rsidRDefault="006643FB" w:rsidP="00B419FD">
      <w:pPr>
        <w:tabs>
          <w:tab w:val="left" w:pos="426"/>
        </w:tabs>
        <w:spacing w:line="360" w:lineRule="auto"/>
        <w:jc w:val="both"/>
        <w:rPr>
          <w:sz w:val="28"/>
        </w:rPr>
      </w:pPr>
      <w:r>
        <w:rPr>
          <w:sz w:val="28"/>
        </w:rPr>
        <w:tab/>
      </w:r>
      <w:r>
        <w:rPr>
          <w:sz w:val="28"/>
        </w:rPr>
        <w:tab/>
        <w:t xml:space="preserve">Таблиця 1. Допустимі похибки вимірювань при заданій потужності </w:t>
      </w:r>
      <w:r>
        <w:rPr>
          <w:bCs/>
          <w:sz w:val="28"/>
          <w:szCs w:val="28"/>
          <w:shd w:val="clear" w:color="auto" w:fill="FFFFFF"/>
        </w:rPr>
        <w:t>[1</w:t>
      </w:r>
      <w:r w:rsidRPr="00650196">
        <w:rPr>
          <w:bCs/>
          <w:sz w:val="28"/>
          <w:szCs w:val="28"/>
          <w:shd w:val="clear" w:color="auto" w:fill="FFFFFF"/>
        </w:rPr>
        <w:t>]</w:t>
      </w:r>
      <w:r>
        <w:rPr>
          <w:sz w:val="28"/>
        </w:rPr>
        <w:t xml:space="preserve">. </w:t>
      </w:r>
    </w:p>
    <w:tbl>
      <w:tblPr>
        <w:tblW w:w="0" w:type="auto"/>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2037"/>
        <w:gridCol w:w="3289"/>
        <w:gridCol w:w="3603"/>
      </w:tblGrid>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Номер рівня  системи обліку</w:t>
            </w:r>
          </w:p>
        </w:tc>
        <w:tc>
          <w:tcPr>
            <w:tcW w:w="3289" w:type="dxa"/>
          </w:tcPr>
          <w:p w:rsidR="006643FB" w:rsidRPr="000735F2" w:rsidRDefault="006643FB" w:rsidP="004671F6">
            <w:pPr>
              <w:spacing w:before="120" w:after="120"/>
              <w:ind w:left="-57" w:right="-57"/>
              <w:jc w:val="center"/>
              <w:rPr>
                <w:sz w:val="28"/>
              </w:rPr>
            </w:pPr>
            <w:r w:rsidRPr="000735F2">
              <w:rPr>
                <w:sz w:val="28"/>
              </w:rPr>
              <w:t>Потужності об`єктів, контролю,МВА</w:t>
            </w:r>
          </w:p>
        </w:tc>
        <w:tc>
          <w:tcPr>
            <w:tcW w:w="3603" w:type="dxa"/>
          </w:tcPr>
          <w:p w:rsidR="006643FB" w:rsidRPr="000735F2" w:rsidRDefault="006643FB" w:rsidP="004671F6">
            <w:pPr>
              <w:spacing w:before="120" w:after="120"/>
              <w:ind w:left="-57" w:right="-57"/>
              <w:jc w:val="center"/>
              <w:rPr>
                <w:sz w:val="28"/>
              </w:rPr>
            </w:pPr>
            <w:r w:rsidRPr="000735F2">
              <w:rPr>
                <w:sz w:val="28"/>
              </w:rPr>
              <w:t>Допустима похибка</w:t>
            </w:r>
          </w:p>
          <w:p w:rsidR="006643FB" w:rsidRPr="000735F2" w:rsidRDefault="006643FB" w:rsidP="004671F6">
            <w:pPr>
              <w:spacing w:before="120" w:after="120"/>
              <w:ind w:left="-57" w:right="-57"/>
              <w:jc w:val="center"/>
              <w:rPr>
                <w:sz w:val="28"/>
              </w:rPr>
            </w:pPr>
            <w:r w:rsidRPr="000735F2">
              <w:rPr>
                <w:sz w:val="28"/>
              </w:rPr>
              <w:t>вимірювань, %</w:t>
            </w:r>
          </w:p>
        </w:tc>
      </w:tr>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1</w:t>
            </w:r>
          </w:p>
        </w:tc>
        <w:tc>
          <w:tcPr>
            <w:tcW w:w="3289" w:type="dxa"/>
          </w:tcPr>
          <w:p w:rsidR="006643FB" w:rsidRPr="00AE5545" w:rsidRDefault="006643FB" w:rsidP="004671F6">
            <w:pPr>
              <w:spacing w:before="120" w:after="120"/>
              <w:ind w:left="-57" w:right="-57"/>
              <w:jc w:val="center"/>
              <w:rPr>
                <w:sz w:val="28"/>
              </w:rPr>
            </w:pPr>
            <w:r w:rsidRPr="00AE5545">
              <w:rPr>
                <w:sz w:val="28"/>
              </w:rPr>
              <w:t xml:space="preserve">S </w:t>
            </w:r>
            <w:r w:rsidRPr="00AE5545">
              <w:rPr>
                <w:sz w:val="28"/>
                <w:szCs w:val="28"/>
              </w:rPr>
              <w:sym w:font="Symbol" w:char="F0B3"/>
            </w:r>
            <w:r w:rsidRPr="00AE5545">
              <w:rPr>
                <w:sz w:val="28"/>
              </w:rPr>
              <w:t xml:space="preserve"> 1000 </w:t>
            </w:r>
          </w:p>
        </w:tc>
        <w:tc>
          <w:tcPr>
            <w:tcW w:w="3603" w:type="dxa"/>
          </w:tcPr>
          <w:p w:rsidR="006643FB" w:rsidRPr="000735F2" w:rsidRDefault="006643FB" w:rsidP="004671F6">
            <w:pPr>
              <w:spacing w:before="120" w:after="120"/>
              <w:ind w:left="-57" w:right="-57"/>
              <w:jc w:val="center"/>
              <w:rPr>
                <w:sz w:val="28"/>
              </w:rPr>
            </w:pPr>
            <w:r w:rsidRPr="000735F2">
              <w:rPr>
                <w:sz w:val="28"/>
              </w:rPr>
              <w:t>0.3  (0.7</w:t>
            </w:r>
            <w:r w:rsidRPr="000735F2">
              <w:rPr>
                <w:sz w:val="28"/>
                <w:vertAlign w:val="superscript"/>
              </w:rPr>
              <w:t>**</w:t>
            </w:r>
            <w:r w:rsidRPr="000735F2">
              <w:rPr>
                <w:sz w:val="28"/>
              </w:rPr>
              <w:t>)</w:t>
            </w:r>
          </w:p>
        </w:tc>
      </w:tr>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2</w:t>
            </w:r>
          </w:p>
        </w:tc>
        <w:tc>
          <w:tcPr>
            <w:tcW w:w="3289" w:type="dxa"/>
          </w:tcPr>
          <w:p w:rsidR="006643FB" w:rsidRPr="00AE5545" w:rsidRDefault="006643FB" w:rsidP="004671F6">
            <w:pPr>
              <w:spacing w:before="120" w:after="120"/>
              <w:ind w:left="-57" w:right="-57"/>
              <w:jc w:val="center"/>
              <w:rPr>
                <w:sz w:val="28"/>
              </w:rPr>
            </w:pPr>
            <w:r w:rsidRPr="00AE5545">
              <w:rPr>
                <w:sz w:val="28"/>
              </w:rPr>
              <w:t xml:space="preserve">300 </w:t>
            </w:r>
            <w:r w:rsidRPr="00AE5545">
              <w:rPr>
                <w:sz w:val="28"/>
                <w:szCs w:val="28"/>
              </w:rPr>
              <w:sym w:font="Symbol" w:char="F0A3"/>
            </w:r>
            <w:r w:rsidRPr="00AE5545">
              <w:rPr>
                <w:sz w:val="28"/>
              </w:rPr>
              <w:t xml:space="preserve"> S </w:t>
            </w:r>
            <w:r w:rsidRPr="00AE5545">
              <w:rPr>
                <w:sz w:val="28"/>
                <w:szCs w:val="28"/>
              </w:rPr>
              <w:sym w:font="Symbol" w:char="F03C"/>
            </w:r>
            <w:r w:rsidRPr="00AE5545">
              <w:rPr>
                <w:sz w:val="28"/>
              </w:rPr>
              <w:t xml:space="preserve"> 1000</w:t>
            </w:r>
          </w:p>
        </w:tc>
        <w:tc>
          <w:tcPr>
            <w:tcW w:w="3603" w:type="dxa"/>
          </w:tcPr>
          <w:p w:rsidR="006643FB" w:rsidRPr="000735F2" w:rsidRDefault="006643FB" w:rsidP="004671F6">
            <w:pPr>
              <w:spacing w:before="120" w:after="120"/>
              <w:ind w:left="-57" w:right="-57"/>
              <w:jc w:val="center"/>
              <w:rPr>
                <w:sz w:val="28"/>
              </w:rPr>
            </w:pPr>
            <w:r w:rsidRPr="000735F2">
              <w:rPr>
                <w:sz w:val="28"/>
              </w:rPr>
              <w:t>0.4  (0.7</w:t>
            </w:r>
            <w:r w:rsidRPr="000735F2">
              <w:rPr>
                <w:sz w:val="28"/>
                <w:vertAlign w:val="superscript"/>
              </w:rPr>
              <w:t>**</w:t>
            </w:r>
            <w:r w:rsidRPr="000735F2">
              <w:rPr>
                <w:sz w:val="28"/>
              </w:rPr>
              <w:t>)</w:t>
            </w:r>
          </w:p>
        </w:tc>
      </w:tr>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3</w:t>
            </w:r>
          </w:p>
        </w:tc>
        <w:tc>
          <w:tcPr>
            <w:tcW w:w="3289" w:type="dxa"/>
          </w:tcPr>
          <w:p w:rsidR="006643FB" w:rsidRPr="00AE5545" w:rsidRDefault="006643FB" w:rsidP="004671F6">
            <w:pPr>
              <w:spacing w:before="120" w:after="120"/>
              <w:ind w:left="-57" w:right="-57"/>
              <w:jc w:val="center"/>
              <w:rPr>
                <w:sz w:val="28"/>
              </w:rPr>
            </w:pPr>
            <w:r w:rsidRPr="00AE5545">
              <w:rPr>
                <w:sz w:val="28"/>
              </w:rPr>
              <w:t xml:space="preserve">100 </w:t>
            </w:r>
            <w:r w:rsidRPr="00AE5545">
              <w:rPr>
                <w:sz w:val="28"/>
                <w:szCs w:val="28"/>
              </w:rPr>
              <w:sym w:font="Symbol" w:char="F0A3"/>
            </w:r>
            <w:r w:rsidRPr="00AE5545">
              <w:rPr>
                <w:sz w:val="28"/>
              </w:rPr>
              <w:t xml:space="preserve"> S </w:t>
            </w:r>
            <w:r w:rsidRPr="00AE5545">
              <w:rPr>
                <w:sz w:val="28"/>
                <w:szCs w:val="28"/>
              </w:rPr>
              <w:sym w:font="Symbol" w:char="F03C"/>
            </w:r>
            <w:r w:rsidRPr="00AE5545">
              <w:rPr>
                <w:sz w:val="28"/>
              </w:rPr>
              <w:t xml:space="preserve"> 300</w:t>
            </w:r>
          </w:p>
        </w:tc>
        <w:tc>
          <w:tcPr>
            <w:tcW w:w="3603" w:type="dxa"/>
          </w:tcPr>
          <w:p w:rsidR="006643FB" w:rsidRPr="000735F2" w:rsidRDefault="006643FB" w:rsidP="004671F6">
            <w:pPr>
              <w:spacing w:before="120" w:after="120"/>
              <w:ind w:left="-57" w:right="-57"/>
              <w:jc w:val="center"/>
              <w:rPr>
                <w:sz w:val="28"/>
              </w:rPr>
            </w:pPr>
            <w:r w:rsidRPr="000735F2">
              <w:rPr>
                <w:sz w:val="28"/>
              </w:rPr>
              <w:t>0.7</w:t>
            </w:r>
          </w:p>
        </w:tc>
      </w:tr>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4</w:t>
            </w:r>
          </w:p>
        </w:tc>
        <w:tc>
          <w:tcPr>
            <w:tcW w:w="3289" w:type="dxa"/>
          </w:tcPr>
          <w:p w:rsidR="006643FB" w:rsidRPr="00AE5545" w:rsidRDefault="006643FB" w:rsidP="004671F6">
            <w:pPr>
              <w:spacing w:before="120" w:after="120"/>
              <w:ind w:left="-57" w:right="-57"/>
              <w:jc w:val="center"/>
              <w:rPr>
                <w:sz w:val="28"/>
              </w:rPr>
            </w:pPr>
            <w:r w:rsidRPr="00AE5545">
              <w:rPr>
                <w:sz w:val="28"/>
              </w:rPr>
              <w:t xml:space="preserve">50 </w:t>
            </w:r>
            <w:r w:rsidRPr="00AE5545">
              <w:rPr>
                <w:sz w:val="28"/>
                <w:szCs w:val="28"/>
              </w:rPr>
              <w:sym w:font="Symbol" w:char="F0A3"/>
            </w:r>
            <w:r w:rsidRPr="00AE5545">
              <w:rPr>
                <w:sz w:val="28"/>
              </w:rPr>
              <w:t xml:space="preserve"> S </w:t>
            </w:r>
            <w:r w:rsidRPr="00AE5545">
              <w:rPr>
                <w:sz w:val="28"/>
                <w:szCs w:val="28"/>
              </w:rPr>
              <w:sym w:font="Symbol" w:char="F03C"/>
            </w:r>
            <w:r w:rsidRPr="00AE5545">
              <w:rPr>
                <w:sz w:val="28"/>
              </w:rPr>
              <w:t xml:space="preserve"> 100</w:t>
            </w:r>
          </w:p>
        </w:tc>
        <w:tc>
          <w:tcPr>
            <w:tcW w:w="3603" w:type="dxa"/>
          </w:tcPr>
          <w:p w:rsidR="006643FB" w:rsidRPr="000735F2" w:rsidRDefault="006643FB" w:rsidP="004671F6">
            <w:pPr>
              <w:spacing w:before="120" w:after="120"/>
              <w:ind w:left="-57" w:right="-57"/>
              <w:jc w:val="center"/>
              <w:rPr>
                <w:sz w:val="28"/>
              </w:rPr>
            </w:pPr>
            <w:r w:rsidRPr="000735F2">
              <w:rPr>
                <w:sz w:val="28"/>
              </w:rPr>
              <w:t>1.2</w:t>
            </w:r>
          </w:p>
        </w:tc>
      </w:tr>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5</w:t>
            </w:r>
          </w:p>
        </w:tc>
        <w:tc>
          <w:tcPr>
            <w:tcW w:w="3289" w:type="dxa"/>
          </w:tcPr>
          <w:p w:rsidR="006643FB" w:rsidRPr="00AE5545" w:rsidRDefault="006643FB" w:rsidP="004671F6">
            <w:pPr>
              <w:spacing w:before="120" w:after="120"/>
              <w:ind w:left="-57" w:right="-57"/>
              <w:jc w:val="center"/>
              <w:rPr>
                <w:sz w:val="28"/>
              </w:rPr>
            </w:pPr>
            <w:r w:rsidRPr="00AE5545">
              <w:rPr>
                <w:sz w:val="28"/>
              </w:rPr>
              <w:t xml:space="preserve">10 </w:t>
            </w:r>
            <w:r w:rsidRPr="00AE5545">
              <w:rPr>
                <w:sz w:val="28"/>
                <w:szCs w:val="28"/>
              </w:rPr>
              <w:sym w:font="Symbol" w:char="F0A3"/>
            </w:r>
            <w:r w:rsidRPr="00AE5545">
              <w:rPr>
                <w:sz w:val="28"/>
              </w:rPr>
              <w:t xml:space="preserve"> S </w:t>
            </w:r>
            <w:r w:rsidRPr="00AE5545">
              <w:rPr>
                <w:sz w:val="28"/>
                <w:szCs w:val="28"/>
              </w:rPr>
              <w:sym w:font="Symbol" w:char="F03C"/>
            </w:r>
            <w:r w:rsidRPr="00AE5545">
              <w:rPr>
                <w:sz w:val="28"/>
              </w:rPr>
              <w:t xml:space="preserve"> 50</w:t>
            </w:r>
          </w:p>
        </w:tc>
        <w:tc>
          <w:tcPr>
            <w:tcW w:w="3603" w:type="dxa"/>
          </w:tcPr>
          <w:p w:rsidR="006643FB" w:rsidRPr="000735F2" w:rsidRDefault="006643FB" w:rsidP="004671F6">
            <w:pPr>
              <w:spacing w:before="120" w:after="120"/>
              <w:ind w:left="-57" w:right="-57"/>
              <w:jc w:val="center"/>
              <w:rPr>
                <w:sz w:val="28"/>
              </w:rPr>
            </w:pPr>
            <w:r w:rsidRPr="000735F2">
              <w:rPr>
                <w:sz w:val="28"/>
              </w:rPr>
              <w:t>1.8</w:t>
            </w:r>
          </w:p>
        </w:tc>
      </w:tr>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6</w:t>
            </w:r>
          </w:p>
        </w:tc>
        <w:tc>
          <w:tcPr>
            <w:tcW w:w="3289" w:type="dxa"/>
          </w:tcPr>
          <w:p w:rsidR="006643FB" w:rsidRPr="00AE5545" w:rsidRDefault="006643FB" w:rsidP="004671F6">
            <w:pPr>
              <w:spacing w:before="120" w:after="120"/>
              <w:ind w:left="-57" w:right="-57"/>
              <w:jc w:val="center"/>
              <w:rPr>
                <w:sz w:val="28"/>
              </w:rPr>
            </w:pPr>
            <w:r w:rsidRPr="00AE5545">
              <w:rPr>
                <w:sz w:val="28"/>
              </w:rPr>
              <w:t xml:space="preserve">3 </w:t>
            </w:r>
            <w:r w:rsidRPr="00AE5545">
              <w:rPr>
                <w:sz w:val="28"/>
                <w:szCs w:val="28"/>
              </w:rPr>
              <w:sym w:font="Symbol" w:char="F0A3"/>
            </w:r>
            <w:r w:rsidRPr="00AE5545">
              <w:rPr>
                <w:sz w:val="28"/>
              </w:rPr>
              <w:t xml:space="preserve"> S </w:t>
            </w:r>
            <w:r w:rsidRPr="00AE5545">
              <w:rPr>
                <w:sz w:val="28"/>
                <w:szCs w:val="28"/>
              </w:rPr>
              <w:sym w:font="Symbol" w:char="F03C"/>
            </w:r>
            <w:r w:rsidRPr="00AE5545">
              <w:rPr>
                <w:sz w:val="28"/>
              </w:rPr>
              <w:t xml:space="preserve"> 10</w:t>
            </w:r>
          </w:p>
        </w:tc>
        <w:tc>
          <w:tcPr>
            <w:tcW w:w="3603" w:type="dxa"/>
          </w:tcPr>
          <w:p w:rsidR="006643FB" w:rsidRPr="000735F2" w:rsidRDefault="006643FB" w:rsidP="004671F6">
            <w:pPr>
              <w:spacing w:before="120" w:after="120"/>
              <w:ind w:left="-57" w:right="-57"/>
              <w:jc w:val="center"/>
              <w:rPr>
                <w:sz w:val="28"/>
              </w:rPr>
            </w:pPr>
            <w:r w:rsidRPr="000735F2">
              <w:rPr>
                <w:sz w:val="28"/>
              </w:rPr>
              <w:t>2.5</w:t>
            </w:r>
          </w:p>
        </w:tc>
      </w:tr>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7</w:t>
            </w:r>
          </w:p>
        </w:tc>
        <w:tc>
          <w:tcPr>
            <w:tcW w:w="3289" w:type="dxa"/>
          </w:tcPr>
          <w:p w:rsidR="006643FB" w:rsidRPr="00AE5545" w:rsidRDefault="006643FB" w:rsidP="004671F6">
            <w:pPr>
              <w:spacing w:before="120" w:after="120"/>
              <w:ind w:left="-57" w:right="-57"/>
              <w:jc w:val="center"/>
              <w:rPr>
                <w:sz w:val="28"/>
              </w:rPr>
            </w:pPr>
            <w:r w:rsidRPr="00AE5545">
              <w:rPr>
                <w:sz w:val="28"/>
              </w:rPr>
              <w:t xml:space="preserve">0,75 </w:t>
            </w:r>
            <w:r w:rsidRPr="00AE5545">
              <w:rPr>
                <w:sz w:val="28"/>
                <w:szCs w:val="28"/>
              </w:rPr>
              <w:sym w:font="Symbol" w:char="F0A3"/>
            </w:r>
            <w:r w:rsidRPr="00AE5545">
              <w:rPr>
                <w:sz w:val="28"/>
              </w:rPr>
              <w:t xml:space="preserve"> S </w:t>
            </w:r>
            <w:r w:rsidRPr="00AE5545">
              <w:rPr>
                <w:sz w:val="28"/>
                <w:szCs w:val="28"/>
              </w:rPr>
              <w:sym w:font="Symbol" w:char="F03C"/>
            </w:r>
            <w:r w:rsidRPr="00AE5545">
              <w:rPr>
                <w:sz w:val="28"/>
              </w:rPr>
              <w:t xml:space="preserve"> 3</w:t>
            </w:r>
          </w:p>
        </w:tc>
        <w:tc>
          <w:tcPr>
            <w:tcW w:w="3603" w:type="dxa"/>
          </w:tcPr>
          <w:p w:rsidR="006643FB" w:rsidRPr="000735F2" w:rsidRDefault="006643FB" w:rsidP="004671F6">
            <w:pPr>
              <w:spacing w:before="120" w:after="120"/>
              <w:ind w:left="-57" w:right="-57"/>
              <w:jc w:val="center"/>
              <w:rPr>
                <w:sz w:val="28"/>
              </w:rPr>
            </w:pPr>
            <w:r w:rsidRPr="000735F2">
              <w:rPr>
                <w:sz w:val="28"/>
              </w:rPr>
              <w:t>4.6</w:t>
            </w:r>
          </w:p>
        </w:tc>
      </w:tr>
      <w:tr w:rsidR="006643FB" w:rsidTr="004671F6">
        <w:trPr>
          <w:cantSplit/>
          <w:jc w:val="center"/>
        </w:trPr>
        <w:tc>
          <w:tcPr>
            <w:tcW w:w="2037" w:type="dxa"/>
          </w:tcPr>
          <w:p w:rsidR="006643FB" w:rsidRPr="000735F2" w:rsidRDefault="006643FB" w:rsidP="004671F6">
            <w:pPr>
              <w:spacing w:before="120" w:after="120"/>
              <w:ind w:left="-57" w:right="-57"/>
              <w:jc w:val="center"/>
              <w:rPr>
                <w:sz w:val="28"/>
              </w:rPr>
            </w:pPr>
            <w:r w:rsidRPr="000735F2">
              <w:rPr>
                <w:sz w:val="28"/>
              </w:rPr>
              <w:t>8</w:t>
            </w:r>
          </w:p>
        </w:tc>
        <w:tc>
          <w:tcPr>
            <w:tcW w:w="3289" w:type="dxa"/>
          </w:tcPr>
          <w:p w:rsidR="006643FB" w:rsidRPr="00AE5545" w:rsidRDefault="006643FB" w:rsidP="004671F6">
            <w:pPr>
              <w:spacing w:before="120" w:after="120"/>
              <w:ind w:left="-57" w:right="-57"/>
              <w:jc w:val="center"/>
              <w:rPr>
                <w:sz w:val="28"/>
              </w:rPr>
            </w:pPr>
            <w:r w:rsidRPr="00AE5545">
              <w:rPr>
                <w:sz w:val="28"/>
              </w:rPr>
              <w:t xml:space="preserve">S </w:t>
            </w:r>
            <w:r w:rsidRPr="00AE5545">
              <w:rPr>
                <w:sz w:val="28"/>
                <w:szCs w:val="28"/>
              </w:rPr>
              <w:sym w:font="Symbol" w:char="F03C"/>
            </w:r>
            <w:r w:rsidRPr="00AE5545">
              <w:rPr>
                <w:sz w:val="28"/>
              </w:rPr>
              <w:t xml:space="preserve"> 0.75</w:t>
            </w:r>
          </w:p>
        </w:tc>
        <w:tc>
          <w:tcPr>
            <w:tcW w:w="3603" w:type="dxa"/>
          </w:tcPr>
          <w:p w:rsidR="006643FB" w:rsidRPr="000735F2" w:rsidRDefault="006643FB" w:rsidP="004671F6">
            <w:pPr>
              <w:spacing w:before="120" w:after="120"/>
              <w:ind w:left="-57" w:right="-57"/>
              <w:jc w:val="center"/>
              <w:rPr>
                <w:sz w:val="28"/>
              </w:rPr>
            </w:pPr>
            <w:r w:rsidRPr="000735F2">
              <w:rPr>
                <w:sz w:val="28"/>
              </w:rPr>
              <w:t xml:space="preserve">         7.3; 3.2</w:t>
            </w:r>
            <w:r w:rsidRPr="000735F2">
              <w:rPr>
                <w:sz w:val="28"/>
                <w:vertAlign w:val="superscript"/>
              </w:rPr>
              <w:t>***</w:t>
            </w:r>
          </w:p>
        </w:tc>
      </w:tr>
    </w:tbl>
    <w:p w:rsidR="006643FB" w:rsidRDefault="006643FB" w:rsidP="00B419FD">
      <w:pPr>
        <w:tabs>
          <w:tab w:val="left" w:pos="426"/>
        </w:tabs>
        <w:spacing w:line="360" w:lineRule="auto"/>
        <w:jc w:val="both"/>
        <w:rPr>
          <w:sz w:val="28"/>
        </w:rPr>
      </w:pPr>
      <w:r>
        <w:rPr>
          <w:sz w:val="28"/>
        </w:rPr>
        <w:t xml:space="preserve">Примітка до Табл.1 </w:t>
      </w:r>
      <w:r>
        <w:rPr>
          <w:bCs/>
          <w:sz w:val="28"/>
          <w:szCs w:val="28"/>
          <w:shd w:val="clear" w:color="auto" w:fill="FFFFFF"/>
        </w:rPr>
        <w:t>[1</w:t>
      </w:r>
      <w:r w:rsidRPr="00650196">
        <w:rPr>
          <w:bCs/>
          <w:sz w:val="28"/>
          <w:szCs w:val="28"/>
          <w:shd w:val="clear" w:color="auto" w:fill="FFFFFF"/>
        </w:rPr>
        <w:t>]</w:t>
      </w:r>
      <w:r>
        <w:rPr>
          <w:sz w:val="28"/>
        </w:rPr>
        <w:t>:</w:t>
      </w:r>
    </w:p>
    <w:p w:rsidR="006643FB" w:rsidRDefault="006643FB" w:rsidP="00B419FD">
      <w:pPr>
        <w:tabs>
          <w:tab w:val="left" w:pos="426"/>
        </w:tabs>
        <w:spacing w:line="360" w:lineRule="auto"/>
        <w:jc w:val="both"/>
        <w:rPr>
          <w:sz w:val="28"/>
        </w:rPr>
      </w:pPr>
      <w:r>
        <w:rPr>
          <w:sz w:val="28"/>
          <w:vertAlign w:val="superscript"/>
        </w:rPr>
        <w:t xml:space="preserve">* </w:t>
      </w:r>
      <w:r>
        <w:rPr>
          <w:sz w:val="28"/>
        </w:rPr>
        <w:t>для оптового ринку рівень - 3, для роздрібного - рівень 7.</w:t>
      </w:r>
    </w:p>
    <w:p w:rsidR="006643FB" w:rsidRDefault="006643FB" w:rsidP="00B419FD">
      <w:pPr>
        <w:tabs>
          <w:tab w:val="left" w:pos="426"/>
        </w:tabs>
        <w:spacing w:line="360" w:lineRule="auto"/>
        <w:jc w:val="both"/>
        <w:rPr>
          <w:sz w:val="28"/>
        </w:rPr>
      </w:pPr>
      <w:r>
        <w:rPr>
          <w:sz w:val="28"/>
          <w:vertAlign w:val="superscript"/>
        </w:rPr>
        <w:t xml:space="preserve">** </w:t>
      </w:r>
      <w:r>
        <w:rPr>
          <w:sz w:val="28"/>
        </w:rPr>
        <w:t>вказані значення приймаються при перехідному періоді формування системи обліку.</w:t>
      </w:r>
    </w:p>
    <w:p w:rsidR="006643FB" w:rsidRPr="00B31316" w:rsidRDefault="006643FB" w:rsidP="00B419FD">
      <w:pPr>
        <w:tabs>
          <w:tab w:val="left" w:pos="426"/>
        </w:tabs>
        <w:spacing w:line="360" w:lineRule="auto"/>
        <w:jc w:val="both"/>
        <w:rPr>
          <w:sz w:val="28"/>
        </w:rPr>
      </w:pPr>
      <w:r w:rsidRPr="00FB71BD">
        <w:rPr>
          <w:sz w:val="28"/>
          <w:vertAlign w:val="superscript"/>
        </w:rPr>
        <w:t>***</w:t>
      </w:r>
      <w:r>
        <w:rPr>
          <w:sz w:val="28"/>
        </w:rPr>
        <w:t>для прямого ввімкнення лічильників.</w:t>
      </w:r>
    </w:p>
    <w:p w:rsidR="006643FB" w:rsidRDefault="006643FB" w:rsidP="00B419FD">
      <w:pPr>
        <w:tabs>
          <w:tab w:val="left" w:pos="426"/>
        </w:tabs>
        <w:spacing w:line="360" w:lineRule="auto"/>
        <w:jc w:val="both"/>
        <w:rPr>
          <w:sz w:val="28"/>
        </w:rPr>
      </w:pPr>
      <w:r>
        <w:rPr>
          <w:sz w:val="28"/>
          <w:vertAlign w:val="superscript"/>
        </w:rPr>
        <w:tab/>
      </w:r>
      <w:r>
        <w:rPr>
          <w:sz w:val="28"/>
          <w:vertAlign w:val="superscript"/>
        </w:rPr>
        <w:tab/>
      </w:r>
      <w:r>
        <w:rPr>
          <w:sz w:val="28"/>
        </w:rPr>
        <w:t>Для того щоб підвищити точність системи обліку електричної енергії необхідно відповідно до даних отриманих за відповідними формулами здійснювати підвищення точності на всіх рівнях системи</w:t>
      </w:r>
      <w:r>
        <w:rPr>
          <w:bCs/>
          <w:sz w:val="28"/>
          <w:szCs w:val="28"/>
          <w:shd w:val="clear" w:color="auto" w:fill="FFFFFF"/>
        </w:rPr>
        <w:t>[1,3</w:t>
      </w:r>
      <w:r w:rsidRPr="00650196">
        <w:rPr>
          <w:bCs/>
          <w:sz w:val="28"/>
          <w:szCs w:val="28"/>
          <w:shd w:val="clear" w:color="auto" w:fill="FFFFFF"/>
        </w:rPr>
        <w:t>]</w:t>
      </w:r>
      <w:r>
        <w:rPr>
          <w:sz w:val="28"/>
        </w:rPr>
        <w:t>.</w:t>
      </w:r>
    </w:p>
    <w:p w:rsidR="006643FB" w:rsidRPr="004F4A70" w:rsidRDefault="006643FB" w:rsidP="00B419FD">
      <w:pPr>
        <w:tabs>
          <w:tab w:val="left" w:pos="426"/>
        </w:tabs>
        <w:spacing w:line="360" w:lineRule="auto"/>
        <w:jc w:val="both"/>
        <w:rPr>
          <w:sz w:val="28"/>
        </w:rPr>
      </w:pPr>
      <w:r>
        <w:rPr>
          <w:sz w:val="28"/>
        </w:rPr>
        <w:tab/>
      </w:r>
      <w:r>
        <w:rPr>
          <w:sz w:val="28"/>
        </w:rPr>
        <w:tab/>
        <w:t>Під час застосування заходів із підвищення точності вимірювання системи обліку електроенергії необхідно використовувати спеціальну програму яка враховує вже існуючу точність вимірювання системи, пропорційну залежність між точностями вимірювання на всіх рівнях системи визначеними згідно даних отриманих відповідно до встановлених формул, економічні та інші фактори.</w:t>
      </w:r>
    </w:p>
    <w:p w:rsidR="006643FB" w:rsidRDefault="006643FB" w:rsidP="00B419FD">
      <w:pPr>
        <w:tabs>
          <w:tab w:val="left" w:pos="426"/>
        </w:tabs>
        <w:spacing w:line="360" w:lineRule="auto"/>
        <w:jc w:val="both"/>
        <w:rPr>
          <w:sz w:val="28"/>
        </w:rPr>
      </w:pPr>
      <w:r w:rsidRPr="004F4A70">
        <w:rPr>
          <w:sz w:val="28"/>
        </w:rPr>
        <w:tab/>
      </w:r>
      <w:r>
        <w:rPr>
          <w:sz w:val="28"/>
        </w:rPr>
        <w:tab/>
        <w:t>При використанні точок обліку з різними рівнями систем обліку необхідно враховувати розрахунки по допустимих похибках вимірювань, а не клас точності засобів вимірювальної техніки, який застосовують при першочерговому підключенню до мережі однієї точки обліку.</w:t>
      </w:r>
    </w:p>
    <w:p w:rsidR="006643FB" w:rsidRDefault="006643FB" w:rsidP="00B419FD">
      <w:pPr>
        <w:tabs>
          <w:tab w:val="left" w:pos="426"/>
        </w:tabs>
        <w:spacing w:line="360" w:lineRule="auto"/>
        <w:jc w:val="both"/>
        <w:rPr>
          <w:sz w:val="28"/>
        </w:rPr>
      </w:pPr>
      <w:r>
        <w:rPr>
          <w:sz w:val="28"/>
        </w:rPr>
        <w:tab/>
      </w:r>
      <w:r>
        <w:rPr>
          <w:sz w:val="28"/>
        </w:rPr>
        <w:tab/>
        <w:t xml:space="preserve">Даний спосіб дасть можливість отримання більш точного, якісного значення похибки вимірювальних систем відповідно до вимог допустимих значень похибки в точках обліку та дасть змогу розширити можливість для використання засобів обліку для комплектації систем </w:t>
      </w:r>
      <w:r>
        <w:rPr>
          <w:bCs/>
          <w:sz w:val="28"/>
          <w:szCs w:val="28"/>
          <w:shd w:val="clear" w:color="auto" w:fill="FFFFFF"/>
        </w:rPr>
        <w:t>[1,3</w:t>
      </w:r>
      <w:r w:rsidRPr="00650196">
        <w:rPr>
          <w:bCs/>
          <w:sz w:val="28"/>
          <w:szCs w:val="28"/>
          <w:shd w:val="clear" w:color="auto" w:fill="FFFFFF"/>
        </w:rPr>
        <w:t>]</w:t>
      </w:r>
      <w:r>
        <w:rPr>
          <w:sz w:val="28"/>
        </w:rPr>
        <w:t>.</w:t>
      </w:r>
    </w:p>
    <w:p w:rsidR="006643FB" w:rsidRDefault="006643FB" w:rsidP="00B419FD">
      <w:pPr>
        <w:tabs>
          <w:tab w:val="left" w:pos="426"/>
        </w:tabs>
        <w:spacing w:line="360" w:lineRule="auto"/>
        <w:jc w:val="both"/>
        <w:rPr>
          <w:sz w:val="28"/>
        </w:rPr>
      </w:pPr>
      <w:r>
        <w:rPr>
          <w:sz w:val="28"/>
        </w:rPr>
        <w:tab/>
      </w:r>
      <w:r>
        <w:rPr>
          <w:sz w:val="28"/>
        </w:rPr>
        <w:tab/>
        <w:t xml:space="preserve">Під час комплектування вимірювальної системи, що містить в своїй компоновці трансформатори струму, трансформатори напруги та лічильники обліку, потрібно дотримуватися кращої технічної та економічної доцільності використання засобів обліку, а саме коли  похибки устаткувань рівні один одному, або близькі за значенням та при цьому збільшити точність одного із засобів вимірювальної техніки, то в результаті збільшення точність всієї системи в цілому не відбудеться. Для прикладу якщо збільшити точність лічильника в 2,5 рази, а похибка в трансформаторах  струму, напруги та засобі обліку буде дорівнювати однаковому значенню тоді зниження похибки в системі в цілому відбудеться лише в 1,2 рази </w:t>
      </w:r>
      <w:r>
        <w:rPr>
          <w:bCs/>
          <w:sz w:val="28"/>
          <w:szCs w:val="28"/>
          <w:shd w:val="clear" w:color="auto" w:fill="FFFFFF"/>
        </w:rPr>
        <w:t>[1</w:t>
      </w:r>
      <w:r w:rsidRPr="00650196">
        <w:rPr>
          <w:bCs/>
          <w:sz w:val="28"/>
          <w:szCs w:val="28"/>
          <w:shd w:val="clear" w:color="auto" w:fill="FFFFFF"/>
        </w:rPr>
        <w:t>]</w:t>
      </w:r>
      <w:r>
        <w:rPr>
          <w:sz w:val="28"/>
        </w:rPr>
        <w:t>.</w:t>
      </w:r>
    </w:p>
    <w:p w:rsidR="006643FB" w:rsidRDefault="006643FB" w:rsidP="0073500F">
      <w:pPr>
        <w:tabs>
          <w:tab w:val="left" w:pos="426"/>
        </w:tabs>
        <w:spacing w:line="360" w:lineRule="auto"/>
        <w:rPr>
          <w:b/>
          <w:sz w:val="28"/>
        </w:rPr>
      </w:pPr>
      <w:r>
        <w:rPr>
          <w:b/>
          <w:sz w:val="28"/>
        </w:rPr>
        <w:t>Література:</w:t>
      </w:r>
    </w:p>
    <w:p w:rsidR="006643FB" w:rsidRPr="00B55A4D" w:rsidRDefault="006643FB" w:rsidP="00B419FD">
      <w:pPr>
        <w:tabs>
          <w:tab w:val="left" w:pos="426"/>
        </w:tabs>
        <w:spacing w:line="360" w:lineRule="auto"/>
        <w:jc w:val="both"/>
        <w:rPr>
          <w:bCs/>
          <w:sz w:val="28"/>
          <w:szCs w:val="28"/>
          <w:shd w:val="clear" w:color="auto" w:fill="FFFFFF"/>
        </w:rPr>
      </w:pPr>
      <w:r>
        <w:rPr>
          <w:bCs/>
          <w:sz w:val="28"/>
          <w:szCs w:val="28"/>
          <w:shd w:val="clear" w:color="auto" w:fill="FFFFFF"/>
        </w:rPr>
        <w:tab/>
      </w:r>
      <w:r>
        <w:rPr>
          <w:bCs/>
          <w:sz w:val="28"/>
          <w:szCs w:val="28"/>
          <w:shd w:val="clear" w:color="auto" w:fill="FFFFFF"/>
        </w:rPr>
        <w:tab/>
        <w:t xml:space="preserve">1. </w:t>
      </w:r>
      <w:r w:rsidRPr="00185ECD">
        <w:rPr>
          <w:bCs/>
          <w:sz w:val="28"/>
          <w:szCs w:val="28"/>
          <w:shd w:val="clear" w:color="auto" w:fill="FFFFFF"/>
        </w:rPr>
        <w:t>Наказ Міністерства палива та енергетики України, Національної комісії регулювання електроенергетики України, Державного комітету стандартизації, Метрології та сертифікації України, Державного комітету будівництва, Архітектури та житлової політики України, Державного комітету промислової політики України «Про затвердження Концепції побудови автоматизованих систем обліку електроенергії», 2000, №32/28/28/276/75/54, с.</w:t>
      </w:r>
      <w:r>
        <w:rPr>
          <w:bCs/>
          <w:sz w:val="28"/>
          <w:szCs w:val="28"/>
          <w:shd w:val="clear" w:color="auto" w:fill="FFFFFF"/>
        </w:rPr>
        <w:t>5-18</w:t>
      </w:r>
      <w:r w:rsidRPr="00185ECD">
        <w:rPr>
          <w:bCs/>
          <w:sz w:val="28"/>
          <w:szCs w:val="28"/>
          <w:shd w:val="clear" w:color="auto" w:fill="FFFFFF"/>
        </w:rPr>
        <w:t>.</w:t>
      </w:r>
    </w:p>
    <w:p w:rsidR="006643FB" w:rsidRPr="00B419FD" w:rsidRDefault="006643FB" w:rsidP="00B419FD">
      <w:pPr>
        <w:tabs>
          <w:tab w:val="left" w:pos="426"/>
        </w:tabs>
        <w:spacing w:line="360" w:lineRule="auto"/>
        <w:jc w:val="both"/>
        <w:rPr>
          <w:sz w:val="28"/>
          <w:szCs w:val="28"/>
          <w:lang w:val="ru-RU"/>
        </w:rPr>
      </w:pPr>
      <w:r>
        <w:rPr>
          <w:bCs/>
          <w:sz w:val="28"/>
          <w:szCs w:val="28"/>
          <w:shd w:val="clear" w:color="auto" w:fill="FFFFFF"/>
        </w:rPr>
        <w:tab/>
      </w:r>
      <w:r>
        <w:rPr>
          <w:bCs/>
          <w:sz w:val="28"/>
          <w:szCs w:val="28"/>
          <w:shd w:val="clear" w:color="auto" w:fill="FFFFFF"/>
        </w:rPr>
        <w:tab/>
      </w:r>
      <w:r w:rsidRPr="00B419FD">
        <w:rPr>
          <w:bCs/>
          <w:sz w:val="28"/>
          <w:szCs w:val="28"/>
          <w:shd w:val="clear" w:color="auto" w:fill="FFFFFF"/>
          <w:lang w:val="ru-RU"/>
        </w:rPr>
        <w:t xml:space="preserve">2. </w:t>
      </w:r>
      <w:r w:rsidRPr="00B419FD">
        <w:rPr>
          <w:sz w:val="28"/>
          <w:szCs w:val="28"/>
          <w:lang w:val="ru-RU"/>
        </w:rPr>
        <w:t>Андреева Л.В., Л.К. Осика, В.В. Тубинис/ Коммерческий учет електроенергии на оптовом и розничном рынке// Техническая библиотека НП «Авок», 2010, 388с.</w:t>
      </w:r>
    </w:p>
    <w:p w:rsidR="006643FB" w:rsidRPr="00B55A4D" w:rsidRDefault="006643FB" w:rsidP="00B419FD">
      <w:pPr>
        <w:tabs>
          <w:tab w:val="left" w:pos="426"/>
        </w:tabs>
        <w:spacing w:line="360" w:lineRule="auto"/>
        <w:jc w:val="both"/>
        <w:rPr>
          <w:sz w:val="28"/>
          <w:szCs w:val="28"/>
        </w:rPr>
      </w:pPr>
      <w:r>
        <w:rPr>
          <w:bCs/>
          <w:sz w:val="28"/>
          <w:szCs w:val="28"/>
          <w:shd w:val="clear" w:color="auto" w:fill="FFFFFF"/>
        </w:rPr>
        <w:tab/>
      </w:r>
      <w:r>
        <w:rPr>
          <w:bCs/>
          <w:sz w:val="28"/>
          <w:szCs w:val="28"/>
          <w:shd w:val="clear" w:color="auto" w:fill="FFFFFF"/>
        </w:rPr>
        <w:tab/>
      </w:r>
      <w:r>
        <w:rPr>
          <w:sz w:val="28"/>
        </w:rPr>
        <w:t>3</w:t>
      </w:r>
      <w:r w:rsidRPr="00185ECD">
        <w:rPr>
          <w:sz w:val="28"/>
        </w:rPr>
        <w:t xml:space="preserve">. </w:t>
      </w:r>
      <w:r w:rsidRPr="002158D1">
        <w:rPr>
          <w:sz w:val="28"/>
          <w:szCs w:val="28"/>
        </w:rPr>
        <w:t>УДК</w:t>
      </w:r>
      <w:r>
        <w:rPr>
          <w:sz w:val="28"/>
          <w:szCs w:val="28"/>
        </w:rPr>
        <w:t>,</w:t>
      </w:r>
      <w:r w:rsidRPr="002158D1">
        <w:rPr>
          <w:sz w:val="28"/>
          <w:szCs w:val="28"/>
        </w:rPr>
        <w:t xml:space="preserve"> 621.311</w:t>
      </w:r>
      <w:r>
        <w:rPr>
          <w:sz w:val="28"/>
          <w:szCs w:val="28"/>
        </w:rPr>
        <w:t>,</w:t>
      </w:r>
      <w:r w:rsidRPr="002158D1">
        <w:rPr>
          <w:sz w:val="28"/>
          <w:szCs w:val="28"/>
        </w:rPr>
        <w:t xml:space="preserve"> Ю.С. Олійник</w:t>
      </w:r>
      <w:r>
        <w:rPr>
          <w:sz w:val="28"/>
          <w:szCs w:val="28"/>
        </w:rPr>
        <w:t>,</w:t>
      </w:r>
      <w:r w:rsidRPr="002158D1">
        <w:rPr>
          <w:sz w:val="28"/>
          <w:szCs w:val="28"/>
        </w:rPr>
        <w:t xml:space="preserve"> Українська інженерно-педагогічна академія</w:t>
      </w:r>
      <w:r>
        <w:rPr>
          <w:sz w:val="28"/>
          <w:szCs w:val="28"/>
        </w:rPr>
        <w:t>/</w:t>
      </w:r>
      <w:r w:rsidRPr="002158D1">
        <w:rPr>
          <w:sz w:val="28"/>
          <w:szCs w:val="28"/>
        </w:rPr>
        <w:t xml:space="preserve"> Аналіз впровадження АСКОЕ на підпр</w:t>
      </w:r>
      <w:r>
        <w:rPr>
          <w:sz w:val="28"/>
          <w:szCs w:val="28"/>
        </w:rPr>
        <w:t xml:space="preserve">иємствах// </w:t>
      </w:r>
      <w:r>
        <w:rPr>
          <w:sz w:val="28"/>
          <w:szCs w:val="28"/>
        </w:rPr>
        <w:br/>
        <w:t>Харків 2016</w:t>
      </w:r>
      <w:r w:rsidRPr="002158D1">
        <w:rPr>
          <w:sz w:val="28"/>
          <w:szCs w:val="28"/>
        </w:rPr>
        <w:t>р</w:t>
      </w:r>
      <w:r>
        <w:rPr>
          <w:sz w:val="28"/>
          <w:szCs w:val="28"/>
        </w:rPr>
        <w:t>, 124с.</w:t>
      </w:r>
    </w:p>
    <w:p w:rsidR="006643FB" w:rsidRPr="00B55A4D" w:rsidRDefault="006643FB" w:rsidP="00B419FD">
      <w:pPr>
        <w:tabs>
          <w:tab w:val="left" w:pos="426"/>
        </w:tabs>
        <w:spacing w:line="360" w:lineRule="auto"/>
        <w:jc w:val="both"/>
        <w:rPr>
          <w:bCs/>
          <w:sz w:val="28"/>
          <w:szCs w:val="28"/>
          <w:shd w:val="clear" w:color="auto" w:fill="FFFFFF"/>
        </w:rPr>
      </w:pPr>
      <w:r>
        <w:rPr>
          <w:sz w:val="28"/>
          <w:szCs w:val="28"/>
        </w:rPr>
        <w:tab/>
      </w:r>
      <w:r>
        <w:rPr>
          <w:sz w:val="28"/>
          <w:szCs w:val="28"/>
        </w:rPr>
        <w:tab/>
        <w:t>4. Ожегов А.Н., Систем</w:t>
      </w:r>
      <w:r>
        <w:rPr>
          <w:sz w:val="28"/>
          <w:szCs w:val="28"/>
          <w:lang w:val="ru-RU"/>
        </w:rPr>
        <w:t>ы</w:t>
      </w:r>
      <w:r>
        <w:rPr>
          <w:sz w:val="28"/>
          <w:szCs w:val="28"/>
        </w:rPr>
        <w:t xml:space="preserve"> АСКУЭ/ </w:t>
      </w:r>
      <w:r w:rsidRPr="00961D07">
        <w:rPr>
          <w:sz w:val="28"/>
          <w:szCs w:val="28"/>
        </w:rPr>
        <w:t>Вятский</w:t>
      </w:r>
      <w:r>
        <w:rPr>
          <w:sz w:val="28"/>
          <w:szCs w:val="28"/>
        </w:rPr>
        <w:t xml:space="preserve"> </w:t>
      </w:r>
      <w:r w:rsidRPr="00961D07">
        <w:rPr>
          <w:sz w:val="28"/>
          <w:szCs w:val="28"/>
        </w:rPr>
        <w:t>государственный</w:t>
      </w:r>
      <w:r>
        <w:rPr>
          <w:sz w:val="28"/>
          <w:szCs w:val="28"/>
        </w:rPr>
        <w:t xml:space="preserve"> </w:t>
      </w:r>
      <w:r w:rsidRPr="00961D07">
        <w:rPr>
          <w:sz w:val="28"/>
          <w:szCs w:val="28"/>
        </w:rPr>
        <w:t>университет, 2006, 102с.</w:t>
      </w:r>
    </w:p>
    <w:p w:rsidR="006643FB" w:rsidRPr="00185ECD" w:rsidRDefault="006643FB" w:rsidP="00B419FD">
      <w:pPr>
        <w:tabs>
          <w:tab w:val="left" w:pos="426"/>
        </w:tabs>
        <w:spacing w:line="360" w:lineRule="auto"/>
        <w:jc w:val="both"/>
        <w:rPr>
          <w:sz w:val="28"/>
        </w:rPr>
      </w:pPr>
    </w:p>
    <w:p w:rsidR="006643FB" w:rsidRPr="00491ED9" w:rsidRDefault="006643FB" w:rsidP="00B419FD"/>
    <w:p w:rsidR="006643FB" w:rsidRPr="00B419FD" w:rsidRDefault="006643FB" w:rsidP="005A3FE7">
      <w:pPr>
        <w:pStyle w:val="BodyTextIndent"/>
        <w:ind w:firstLine="709"/>
        <w:jc w:val="center"/>
        <w:rPr>
          <w:b/>
          <w:szCs w:val="28"/>
        </w:rPr>
      </w:pPr>
    </w:p>
    <w:sectPr w:rsidR="006643FB" w:rsidRPr="00B419FD" w:rsidSect="005A3FE7">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61BCD"/>
    <w:multiLevelType w:val="singleLevel"/>
    <w:tmpl w:val="9C54DF50"/>
    <w:lvl w:ilvl="0">
      <w:start w:val="1"/>
      <w:numFmt w:val="decimal"/>
      <w:lvlText w:val="%1."/>
      <w:lvlJc w:val="left"/>
      <w:pPr>
        <w:tabs>
          <w:tab w:val="num" w:pos="1095"/>
        </w:tabs>
        <w:ind w:left="1095" w:hanging="375"/>
      </w:pPr>
      <w:rPr>
        <w:rFonts w:cs="Times New Roman" w:hint="default"/>
      </w:rPr>
    </w:lvl>
  </w:abstractNum>
  <w:abstractNum w:abstractNumId="1">
    <w:nsid w:val="23B20F13"/>
    <w:multiLevelType w:val="hybridMultilevel"/>
    <w:tmpl w:val="05A86F1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E7F5D5E"/>
    <w:multiLevelType w:val="hybridMultilevel"/>
    <w:tmpl w:val="6588AF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99514CF"/>
    <w:multiLevelType w:val="hybridMultilevel"/>
    <w:tmpl w:val="DA9085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7EC4"/>
    <w:rsid w:val="00054A45"/>
    <w:rsid w:val="000735F2"/>
    <w:rsid w:val="001646B2"/>
    <w:rsid w:val="00175988"/>
    <w:rsid w:val="00185ECD"/>
    <w:rsid w:val="001D3813"/>
    <w:rsid w:val="001E27A0"/>
    <w:rsid w:val="001F7EC4"/>
    <w:rsid w:val="00202683"/>
    <w:rsid w:val="002158D1"/>
    <w:rsid w:val="00223FAC"/>
    <w:rsid w:val="00292CCC"/>
    <w:rsid w:val="0035504B"/>
    <w:rsid w:val="00366809"/>
    <w:rsid w:val="0038680A"/>
    <w:rsid w:val="00396ACE"/>
    <w:rsid w:val="00397117"/>
    <w:rsid w:val="003B08C6"/>
    <w:rsid w:val="003B2B00"/>
    <w:rsid w:val="003C2AFD"/>
    <w:rsid w:val="003D4580"/>
    <w:rsid w:val="003F2A96"/>
    <w:rsid w:val="00452EC9"/>
    <w:rsid w:val="00461A0D"/>
    <w:rsid w:val="004671F6"/>
    <w:rsid w:val="00477432"/>
    <w:rsid w:val="00483C63"/>
    <w:rsid w:val="00491ED9"/>
    <w:rsid w:val="004B1E3D"/>
    <w:rsid w:val="004B2242"/>
    <w:rsid w:val="004B4E62"/>
    <w:rsid w:val="004D028B"/>
    <w:rsid w:val="004F4A70"/>
    <w:rsid w:val="00527DDA"/>
    <w:rsid w:val="00541670"/>
    <w:rsid w:val="005801AC"/>
    <w:rsid w:val="005A3FE7"/>
    <w:rsid w:val="005E5CE8"/>
    <w:rsid w:val="00650196"/>
    <w:rsid w:val="006643FB"/>
    <w:rsid w:val="00696016"/>
    <w:rsid w:val="006E16BF"/>
    <w:rsid w:val="0073500F"/>
    <w:rsid w:val="00776F4E"/>
    <w:rsid w:val="007D65B1"/>
    <w:rsid w:val="00821455"/>
    <w:rsid w:val="008311C6"/>
    <w:rsid w:val="008B7109"/>
    <w:rsid w:val="008E2B66"/>
    <w:rsid w:val="00961D07"/>
    <w:rsid w:val="009E30EF"/>
    <w:rsid w:val="009E6F39"/>
    <w:rsid w:val="009F7C7C"/>
    <w:rsid w:val="00AA3F0C"/>
    <w:rsid w:val="00AA52E8"/>
    <w:rsid w:val="00AB2C57"/>
    <w:rsid w:val="00AB5A63"/>
    <w:rsid w:val="00AE5545"/>
    <w:rsid w:val="00B31316"/>
    <w:rsid w:val="00B419FD"/>
    <w:rsid w:val="00B44185"/>
    <w:rsid w:val="00B55A4D"/>
    <w:rsid w:val="00BA60C7"/>
    <w:rsid w:val="00BB4727"/>
    <w:rsid w:val="00BC39F2"/>
    <w:rsid w:val="00CC002B"/>
    <w:rsid w:val="00CD619B"/>
    <w:rsid w:val="00CF11CE"/>
    <w:rsid w:val="00D110DC"/>
    <w:rsid w:val="00D16D3D"/>
    <w:rsid w:val="00D501B6"/>
    <w:rsid w:val="00D71CEA"/>
    <w:rsid w:val="00DB330F"/>
    <w:rsid w:val="00E517F9"/>
    <w:rsid w:val="00EE6A17"/>
    <w:rsid w:val="00F00D10"/>
    <w:rsid w:val="00F05187"/>
    <w:rsid w:val="00F35C06"/>
    <w:rsid w:val="00F35CCA"/>
    <w:rsid w:val="00F92736"/>
    <w:rsid w:val="00FB475C"/>
    <w:rsid w:val="00FB71BD"/>
    <w:rsid w:val="00FC629C"/>
    <w:rsid w:val="00FF4A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C4"/>
    <w:rPr>
      <w:sz w:val="20"/>
      <w:szCs w:val="20"/>
      <w:lang w:val="uk-UA" w:eastAsia="uk-UA"/>
    </w:rPr>
  </w:style>
  <w:style w:type="paragraph" w:styleId="Heading2">
    <w:name w:val="heading 2"/>
    <w:basedOn w:val="Normal"/>
    <w:next w:val="Normal"/>
    <w:link w:val="Heading2Char"/>
    <w:uiPriority w:val="99"/>
    <w:qFormat/>
    <w:rsid w:val="009E30EF"/>
    <w:pPr>
      <w:keepNext/>
      <w:jc w:val="center"/>
      <w:outlineLvl w:val="1"/>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E30EF"/>
    <w:rPr>
      <w:sz w:val="28"/>
      <w:lang w:val="uk-UA" w:eastAsia="uk-UA"/>
    </w:rPr>
  </w:style>
  <w:style w:type="paragraph" w:styleId="BodyTextIndent">
    <w:name w:val="Body Text Indent"/>
    <w:basedOn w:val="Normal"/>
    <w:link w:val="BodyTextIndentChar"/>
    <w:uiPriority w:val="99"/>
    <w:rsid w:val="001F7EC4"/>
    <w:pPr>
      <w:spacing w:line="360" w:lineRule="auto"/>
      <w:ind w:firstLine="420"/>
      <w:jc w:val="both"/>
    </w:pPr>
    <w:rPr>
      <w:sz w:val="28"/>
    </w:rPr>
  </w:style>
  <w:style w:type="character" w:customStyle="1" w:styleId="BodyTextIndentChar">
    <w:name w:val="Body Text Indent Char"/>
    <w:basedOn w:val="DefaultParagraphFont"/>
    <w:link w:val="BodyTextIndent"/>
    <w:uiPriority w:val="99"/>
    <w:locked/>
    <w:rsid w:val="00BC39F2"/>
    <w:rPr>
      <w:sz w:val="28"/>
      <w:lang w:val="uk-UA" w:eastAsia="uk-UA"/>
    </w:rPr>
  </w:style>
  <w:style w:type="paragraph" w:styleId="BodyTextIndent2">
    <w:name w:val="Body Text Indent 2"/>
    <w:basedOn w:val="Normal"/>
    <w:link w:val="BodyTextIndent2Char"/>
    <w:uiPriority w:val="99"/>
    <w:rsid w:val="001F7EC4"/>
    <w:pPr>
      <w:spacing w:line="360" w:lineRule="auto"/>
      <w:ind w:firstLine="720"/>
      <w:jc w:val="both"/>
    </w:pPr>
    <w:rPr>
      <w:sz w:val="28"/>
      <w:lang w:val="ru-RU"/>
    </w:rPr>
  </w:style>
  <w:style w:type="character" w:customStyle="1" w:styleId="BodyTextIndent2Char">
    <w:name w:val="Body Text Indent 2 Char"/>
    <w:basedOn w:val="DefaultParagraphFont"/>
    <w:link w:val="BodyTextIndent2"/>
    <w:uiPriority w:val="99"/>
    <w:semiHidden/>
    <w:rsid w:val="00123F86"/>
    <w:rPr>
      <w:sz w:val="20"/>
      <w:szCs w:val="20"/>
      <w:lang w:val="uk-UA" w:eastAsia="uk-UA"/>
    </w:rPr>
  </w:style>
  <w:style w:type="paragraph" w:styleId="BodyText">
    <w:name w:val="Body Text"/>
    <w:basedOn w:val="Normal"/>
    <w:link w:val="BodyTextChar"/>
    <w:uiPriority w:val="99"/>
    <w:rsid w:val="00541670"/>
    <w:pPr>
      <w:spacing w:after="120"/>
    </w:pPr>
  </w:style>
  <w:style w:type="character" w:customStyle="1" w:styleId="BodyTextChar">
    <w:name w:val="Body Text Char"/>
    <w:basedOn w:val="DefaultParagraphFont"/>
    <w:link w:val="BodyText"/>
    <w:uiPriority w:val="99"/>
    <w:semiHidden/>
    <w:rsid w:val="00123F86"/>
    <w:rPr>
      <w:sz w:val="20"/>
      <w:szCs w:val="20"/>
      <w:lang w:val="uk-UA" w:eastAsia="uk-UA"/>
    </w:rPr>
  </w:style>
  <w:style w:type="paragraph" w:styleId="HTMLPreformatted">
    <w:name w:val="HTML Preformatted"/>
    <w:basedOn w:val="Normal"/>
    <w:link w:val="HTMLPreformattedChar"/>
    <w:uiPriority w:val="99"/>
    <w:rsid w:val="00B419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en-US"/>
    </w:rPr>
  </w:style>
  <w:style w:type="character" w:customStyle="1" w:styleId="HTMLPreformattedChar">
    <w:name w:val="HTML Preformatted Char"/>
    <w:basedOn w:val="DefaultParagraphFont"/>
    <w:link w:val="HTMLPreformatted"/>
    <w:uiPriority w:val="99"/>
    <w:locked/>
    <w:rsid w:val="00B419FD"/>
    <w:rPr>
      <w:rFonts w:ascii="Courier New" w:hAnsi="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3533</Words>
  <Characters>2015</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Калинчик В</dc:title>
  <dc:subject/>
  <dc:creator>user</dc:creator>
  <cp:keywords/>
  <dc:description/>
  <cp:lastModifiedBy>Admin</cp:lastModifiedBy>
  <cp:revision>4</cp:revision>
  <dcterms:created xsi:type="dcterms:W3CDTF">2018-11-27T10:07:00Z</dcterms:created>
  <dcterms:modified xsi:type="dcterms:W3CDTF">2018-11-27T20:56:00Z</dcterms:modified>
</cp:coreProperties>
</file>