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CA5" w:rsidRDefault="00CE6CA5" w:rsidP="00E8093A">
      <w:pPr>
        <w:spacing w:after="0" w:line="360" w:lineRule="auto"/>
        <w:ind w:left="45" w:right="45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Кандидат юридичних наук, доцент Леонтьєва Ліна Віталіївна</w:t>
      </w:r>
    </w:p>
    <w:p w:rsidR="00CE6CA5" w:rsidRDefault="00CE6CA5" w:rsidP="00E8093A">
      <w:pPr>
        <w:spacing w:after="0" w:line="360" w:lineRule="auto"/>
        <w:ind w:left="45" w:right="45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Борисенко Олександр Анатолійович</w:t>
      </w:r>
    </w:p>
    <w:p w:rsidR="00CE6CA5" w:rsidRDefault="00CE6CA5" w:rsidP="00E8093A">
      <w:pPr>
        <w:spacing w:after="0" w:line="360" w:lineRule="auto"/>
        <w:ind w:left="45" w:right="45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(Харків, Україна)</w:t>
      </w:r>
    </w:p>
    <w:p w:rsidR="00CE6CA5" w:rsidRDefault="00CE6CA5" w:rsidP="00E8093A">
      <w:pPr>
        <w:spacing w:after="0" w:line="360" w:lineRule="auto"/>
        <w:ind w:left="45" w:right="45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ПРАВО</w:t>
      </w:r>
    </w:p>
    <w:p w:rsidR="00CE6CA5" w:rsidRDefault="00CE6CA5" w:rsidP="00E8093A">
      <w:pPr>
        <w:spacing w:after="0" w:line="360" w:lineRule="auto"/>
        <w:ind w:left="45" w:right="45"/>
        <w:jc w:val="right"/>
        <w:outlineLvl w:val="1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CE6C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(</w:t>
      </w:r>
      <w:proofErr w:type="spellStart"/>
      <w:r w:rsidRPr="00CE6CA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Цивільне</w:t>
      </w:r>
      <w:proofErr w:type="spellEnd"/>
      <w:r w:rsidRPr="00CE6CA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право</w:t>
      </w:r>
      <w:r w:rsidRPr="00CE6CA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)</w:t>
      </w:r>
    </w:p>
    <w:p w:rsidR="00E8093A" w:rsidRPr="00CE6CA5" w:rsidRDefault="00E8093A" w:rsidP="00E8093A">
      <w:pPr>
        <w:spacing w:after="0" w:line="360" w:lineRule="auto"/>
        <w:ind w:left="45" w:right="45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CE6CA5" w:rsidRPr="00CE6CA5" w:rsidRDefault="00CE6CA5" w:rsidP="00CE6CA5">
      <w:pPr>
        <w:spacing w:after="0" w:line="360" w:lineRule="auto"/>
        <w:ind w:left="45" w:right="45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E6C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ДОГОВІР ПЕРЕВЕЗЕННЯ ВАНТАЖУ: ПОНЯТТЯ, ЗМІСТ ТА ПОРЯДОК УКЛАДАННЯ</w:t>
      </w:r>
    </w:p>
    <w:p w:rsidR="00CE6CA5" w:rsidRPr="00CE6CA5" w:rsidRDefault="00CE6CA5" w:rsidP="00CE6CA5">
      <w:pPr>
        <w:spacing w:after="0" w:line="360" w:lineRule="auto"/>
        <w:ind w:left="45" w:right="45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E6CA5" w:rsidRPr="00EB4049" w:rsidRDefault="00EB4049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40"/>
          <w:szCs w:val="28"/>
          <w:lang w:val="uk-UA" w:eastAsia="ru-RU"/>
        </w:rPr>
      </w:pP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Основні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засади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діяльності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підприємств транспорту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визначені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Законом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України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«Про транспорт», де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встановлено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, що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надання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транспортних послуг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здійснюється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на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підставі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договорів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,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держав</w:t>
      </w:r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softHyphen/>
        <w:t>них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контрактів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, державного замовлення.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Відносини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з перевезення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автомобільним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транспортом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регулюються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загальними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положеннями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про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договір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перевезення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Цивільного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кодексу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України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,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Господарського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кодексу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України</w:t>
      </w:r>
      <w:proofErr w:type="spellEnd"/>
      <w:r w:rsidR="00C26E3C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(дал</w:t>
      </w:r>
      <w:r w:rsidR="00C26E3C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і ГК</w:t>
      </w:r>
      <w:r w:rsidR="000E3C02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У</w:t>
      </w:r>
      <w:bookmarkStart w:id="0" w:name="_GoBack"/>
      <w:bookmarkEnd w:id="0"/>
      <w:r w:rsidR="00C26E3C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)</w:t>
      </w:r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, Законом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України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«Про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автомобільний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транспорт», Статутом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автомобільного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транспорту та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пра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-</w:t>
      </w:r>
      <w:r w:rsidRPr="00EB4049">
        <w:rPr>
          <w:rFonts w:ascii="Times New Roman" w:hAnsi="Times New Roman" w:cs="Times New Roman"/>
          <w:color w:val="000000" w:themeColor="text1"/>
          <w:sz w:val="28"/>
          <w:szCs w:val="21"/>
        </w:rPr>
        <w:br/>
      </w:r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вилами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здійснення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окремих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</w:t>
      </w:r>
      <w:proofErr w:type="spellStart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видів</w:t>
      </w:r>
      <w:proofErr w:type="spellEnd"/>
      <w:r w:rsidRPr="00EB4049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перевезень.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ГК ст. 306-316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Перевезенням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вантажів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господарська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повязана з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переміщенням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продукції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виробничо-технічного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виробів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народного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споживання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залізницями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автомобільними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дорогами,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повітряними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шляхами, а також транспортування продукції трубопроводами.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Суб’єктами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відносин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перевезення  вантажів  є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вантажовідправники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вантажоодержувачі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E6CA5" w:rsidRPr="00C26E3C" w:rsidRDefault="00CE6CA5" w:rsidP="00C26E3C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Перевезення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вантажів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здійснюють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вантажний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залізничний транспорт,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автомобільний вантажний транспорт,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морський вантажний транспорт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вантажний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внутрішній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флот,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авіаційний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вантажний транспорт,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трубопровідний транспорт,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космічний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транспорт,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6E3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інші види транспорту.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Допоміжним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видом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пов’язаним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перевезенням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вантажу, є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експедиція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Загальні умови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перевезення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вантажів,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також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особливі умови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перевезення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окремих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видів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вантажів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(вибухових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речовин, зброї,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отруйних,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легкозаймистих,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радіоактивних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інших небезпечних речовин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тощо)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ГКУ і виданими відповідно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нього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транспортними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кодексами,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транспортними статутами та іншими нормативно-правовими актами.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Відносини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пов’язані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перевезенням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пасажирів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багажу,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регулюються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Цивільним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кодексом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нормативно-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актами.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договором перевезення вантажу одна сторона (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зобов’язується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доставити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ввірений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їй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другою стороною (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вантажовідправником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пункту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 установлений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договором строк та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його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уповноваженій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на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вантажу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вантажоодержувачу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вантажовідправник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зобов’язується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перевезення вантажу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плату.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перевезення вантажу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письмовій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договору перевезення вантажу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підтверджується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складенням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перевізного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документа (транспортної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накладної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коносамента  тощо) відповідно   до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забезпечувати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вантажовідправників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бланками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перевізних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правилами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відповідних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перевезень. </w:t>
      </w:r>
    </w:p>
    <w:p w:rsidR="00CE6CA5" w:rsidRPr="00CE6CA5" w:rsidRDefault="00EB4049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Вантажовідправник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у  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необхідності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систематичних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впродовж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певного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строку   перевезень вантажів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укласти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довгостроковий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зобов’язується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встановлені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строки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приймати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 а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вантажовідправник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подавати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перевезення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вантажі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погодженому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сторонами </w:t>
      </w:r>
      <w:proofErr w:type="spellStart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обсязі</w:t>
      </w:r>
      <w:proofErr w:type="spellEnd"/>
      <w:r w:rsidR="00CE6CA5"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4049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Залежно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від   виду   транспорту,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систематичне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перевезення вантажів,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укладаються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довгострокові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договори: </w:t>
      </w:r>
    </w:p>
    <w:p w:rsidR="00EB4049" w:rsidRPr="00EB4049" w:rsidRDefault="00CE6CA5" w:rsidP="00EB4049">
      <w:pPr>
        <w:pStyle w:val="a4"/>
        <w:numPr>
          <w:ilvl w:val="0"/>
          <w:numId w:val="2"/>
        </w:num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довгостроковий</w:t>
      </w:r>
      <w:proofErr w:type="spellEnd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на </w:t>
      </w:r>
      <w:proofErr w:type="spellStart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залізничному</w:t>
      </w:r>
      <w:proofErr w:type="spellEnd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морсько</w:t>
      </w:r>
      <w:r w:rsidR="00EB4049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spellEnd"/>
      <w:r w:rsidR="00EB4049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B4049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транспорті</w:t>
      </w:r>
      <w:proofErr w:type="spellEnd"/>
      <w:r w:rsidR="00EB4049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EB4049" w:rsidRDefault="00EB4049" w:rsidP="00EB4049">
      <w:pPr>
        <w:pStyle w:val="a4"/>
        <w:numPr>
          <w:ilvl w:val="0"/>
          <w:numId w:val="2"/>
        </w:num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навігаційний</w:t>
      </w:r>
      <w:proofErr w:type="spellEnd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- </w:t>
      </w:r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 </w:t>
      </w:r>
      <w:proofErr w:type="spellStart"/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річковому</w:t>
      </w:r>
      <w:proofErr w:type="spellEnd"/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транспорті</w:t>
      </w:r>
      <w:proofErr w:type="spellEnd"/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(</w:t>
      </w:r>
      <w:proofErr w:type="spellStart"/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рішньому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флоті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</w:t>
      </w:r>
    </w:p>
    <w:p w:rsidR="00EB4049" w:rsidRPr="00EB4049" w:rsidRDefault="00EB4049" w:rsidP="00EB4049">
      <w:pPr>
        <w:pStyle w:val="a4"/>
        <w:numPr>
          <w:ilvl w:val="0"/>
          <w:numId w:val="2"/>
        </w:num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спеціальний</w:t>
      </w:r>
      <w:proofErr w:type="spellEnd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повітряному</w:t>
      </w:r>
      <w:proofErr w:type="spellEnd"/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транспорті</w:t>
      </w:r>
      <w:proofErr w:type="spellEnd"/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  </w:t>
      </w:r>
    </w:p>
    <w:p w:rsidR="00EB4049" w:rsidRPr="00EB4049" w:rsidRDefault="00EB4049" w:rsidP="00EB4049">
      <w:pPr>
        <w:pStyle w:val="a4"/>
        <w:numPr>
          <w:ilvl w:val="0"/>
          <w:numId w:val="2"/>
        </w:num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річни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й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автомобільному</w:t>
      </w:r>
      <w:proofErr w:type="spellEnd"/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транспорті</w:t>
      </w:r>
      <w:proofErr w:type="spellEnd"/>
      <w:r w:rsidR="00CE6CA5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E6CA5" w:rsidRPr="00EB4049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</w:t>
      </w:r>
      <w:r w:rsidR="00EB4049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   </w:t>
      </w:r>
      <w:proofErr w:type="spellStart"/>
      <w:r w:rsidR="00EB4049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укладення</w:t>
      </w:r>
      <w:proofErr w:type="spellEnd"/>
      <w:r w:rsidR="00EB4049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="00EB4049"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довгострокових</w:t>
      </w:r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договорів</w:t>
      </w:r>
      <w:proofErr w:type="spellEnd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встановлюється</w:t>
      </w:r>
      <w:proofErr w:type="spellEnd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відповідними</w:t>
      </w:r>
      <w:proofErr w:type="spellEnd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транспортними</w:t>
      </w:r>
      <w:proofErr w:type="spellEnd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кодексами, </w:t>
      </w:r>
      <w:proofErr w:type="spellStart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транспортними</w:t>
      </w:r>
      <w:proofErr w:type="spellEnd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статутами </w:t>
      </w:r>
      <w:proofErr w:type="spellStart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правилами перевезень.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Умови перевезення вантажів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видами  транспорту,  а також  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суб’єктів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господарювання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за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перевезеннями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визначаються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кодексами,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статутами  та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нормативно-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актами.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передбачити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також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умови  перевезення,  що  не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суперечать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  та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неналежне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виконання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договірних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зобов’язань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вантажу до перевезення.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перевезення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перевізниками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залежно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  виду   транспорту   та   вантажу  в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місцях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загального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незагального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користування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збереження вантажу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виникає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моменту прийняття вантажу до перевезення. </w:t>
      </w:r>
    </w:p>
    <w:p w:rsidR="00CE6CA5" w:rsidRPr="00CE6CA5" w:rsidRDefault="00CE6CA5" w:rsidP="00CE6CA5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Вантажовідправник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зобов’язаний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підготувати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до перевезення    з     урахуванням  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необхідності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забезпечення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транспортабельності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збереження його в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перевезення і має право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застрахувати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порядку,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встановленому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якщо   для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перевезення   вантажу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договором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посвідчення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 які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підтверджують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якість  та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властивості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вантажу,  що перевозиться,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вантажовідправник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зобов’язаний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перевізникові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разом з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вантажем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прийняття  вантажу  до  перевезення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видає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вантажовідправнику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відправлення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документ,  оформлений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належним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чином.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Вантажовідправник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має  право  в  порядку,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встановленому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кодексами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статутами,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назад зданий до перевезення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 його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відправлення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замінити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вказаного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перевізному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одержувача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вантажу   (до  його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видачі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адресату),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розпорядитися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вантажем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неприйняття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його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одержувачем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неможливості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видачі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вантажу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одержувачу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разі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переривання або припинення перевезення вантажів з незалежних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перевізника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обставин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перевізник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зобов’язаний повідомити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вантажовідправника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одержати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нього відповідне розпорядження щодо вантажу.</w:t>
      </w:r>
    </w:p>
    <w:p w:rsidR="00CE6CA5" w:rsidRPr="00CE6CA5" w:rsidRDefault="00CE6CA5" w:rsidP="00CE6CA5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B40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зобов’язаний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повідомити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одержувача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прибуття вантажу на його адресу.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Одержувач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зобов’язаний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прибув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його адресу.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має право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відмовитися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прийняття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пошкодженого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зіпсованого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вантажу, якщо буде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що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внаслідок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якості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виключається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можливість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повного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часткового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використання його за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первісним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за   збереження   вантажу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припиняється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  моменту   його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видачі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одержувачу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в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Якщо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одержувач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затребував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 що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прибув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 в установлений строк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відмовився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його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має право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залишити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себе на зберігання за рахунок і на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ризик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вантажовідправника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повідомивши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його про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 не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одержаний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після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перевізником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одержувача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вважається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невитребуваним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реалізується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установленому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порядку.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Плата за перевезення вантажів та  виконання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робіт, пов’язаних з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перевезенням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 визначається за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цінами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відповідно до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 договором  перевезення  вантажу  в  прямому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змішаному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сполученні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перевезення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від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вантажовідправника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до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вантажоодержувача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двома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перевізниками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різних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видів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транспорту за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єдиним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документом.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перевезення  вантажу  у  прямому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змішаному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сполученні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застосовуються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307 ГКУ,  якщо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інше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кодексами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статутами.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Відносини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перевізників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під  час  перевезення  вантажу  у прямому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змішаному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сполученні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умови роботи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перевалочних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пунктів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регулюються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вузловими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угодами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Порядок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вузлових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угод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встановлюється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транспортними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кодексами та статутами.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транспортного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експедирування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 договором транспортного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експедирування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одна  сторона (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експедитор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зобов’язується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за плату і за рахунок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другої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(клієнта)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організувати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виконання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визначених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договором послуг, пов’язаних з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перевезенням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вантажу.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Договором транспортного експедирування може бути встановлений обов’язок експедитора організувати перевезення вантажу транспортом і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маршрутом, вибраним експедитором або клієнтом,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укладати від свого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імені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або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імені клієнта договір перевезення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вантажу, забезпечувати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відправку і одержання вантажу,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також 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виконання інших зобов’язань, пов’язаних із перевезенням.</w:t>
      </w: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E6CA5" w:rsidRPr="00CE6CA5" w:rsidRDefault="00CE6CA5" w:rsidP="00EB4049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Договором  транспортного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експедирування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 бути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передбачено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додаткових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послуг,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необхідних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для  доставки   вантажу (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перевірка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кількості  та  стану  вантажу,  його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завантаження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та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вивантаження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мита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зборів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витрат,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покладених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клієнта, зберігання   вантажу  до  його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пункті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одержання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необхідних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експорту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імпорту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виконання </w:t>
      </w:r>
      <w:proofErr w:type="spellStart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митних</w:t>
      </w:r>
      <w:proofErr w:type="spellEnd"/>
      <w:r w:rsidRPr="00CE6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формальностей тощо).</w:t>
      </w:r>
    </w:p>
    <w:p w:rsidR="003919A1" w:rsidRDefault="003919A1" w:rsidP="00CE6CA5"/>
    <w:sectPr w:rsidR="003919A1" w:rsidSect="00CE6C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90153"/>
    <w:multiLevelType w:val="hybridMultilevel"/>
    <w:tmpl w:val="F17004F2"/>
    <w:lvl w:ilvl="0" w:tplc="CE808E0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B765D14"/>
    <w:multiLevelType w:val="hybridMultilevel"/>
    <w:tmpl w:val="2C344CB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2D4"/>
    <w:rsid w:val="000E3C02"/>
    <w:rsid w:val="001F69C5"/>
    <w:rsid w:val="002B72D4"/>
    <w:rsid w:val="003919A1"/>
    <w:rsid w:val="00C26E3C"/>
    <w:rsid w:val="00CE6CA5"/>
    <w:rsid w:val="00E8093A"/>
    <w:rsid w:val="00EB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E6C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6C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E6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CE6CA5"/>
  </w:style>
  <w:style w:type="paragraph" w:styleId="a4">
    <w:name w:val="List Paragraph"/>
    <w:basedOn w:val="a"/>
    <w:uiPriority w:val="34"/>
    <w:qFormat/>
    <w:rsid w:val="00EB4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E6C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6C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E6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CE6CA5"/>
  </w:style>
  <w:style w:type="paragraph" w:styleId="a4">
    <w:name w:val="List Paragraph"/>
    <w:basedOn w:val="a"/>
    <w:uiPriority w:val="34"/>
    <w:qFormat/>
    <w:rsid w:val="00EB4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2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6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5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1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5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4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05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A7F58-953E-43D8-9336-BC99E4BB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Kozlova</dc:creator>
  <cp:lastModifiedBy>Galina Kozlova</cp:lastModifiedBy>
  <cp:revision>5</cp:revision>
  <dcterms:created xsi:type="dcterms:W3CDTF">2018-11-21T22:21:00Z</dcterms:created>
  <dcterms:modified xsi:type="dcterms:W3CDTF">2018-11-22T13:56:00Z</dcterms:modified>
</cp:coreProperties>
</file>