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F40" w:rsidRPr="00B33CB5" w:rsidRDefault="00AD6F40" w:rsidP="00267507">
      <w:pPr>
        <w:ind w:firstLine="709"/>
        <w:rPr>
          <w:rFonts w:ascii="Times New Roman" w:hAnsi="Times New Roman"/>
          <w:sz w:val="28"/>
          <w:szCs w:val="28"/>
        </w:rPr>
      </w:pPr>
      <w:r w:rsidRPr="00B33CB5">
        <w:rPr>
          <w:rFonts w:ascii="Times New Roman" w:hAnsi="Times New Roman"/>
          <w:sz w:val="28"/>
          <w:szCs w:val="28"/>
        </w:rPr>
        <w:t>Аліна Гончар</w:t>
      </w:r>
    </w:p>
    <w:p w:rsidR="00AD6F40" w:rsidRPr="00B33CB5" w:rsidRDefault="00AD6F40" w:rsidP="00267507">
      <w:pPr>
        <w:ind w:firstLine="709"/>
        <w:rPr>
          <w:rFonts w:ascii="Times New Roman" w:hAnsi="Times New Roman"/>
          <w:sz w:val="28"/>
          <w:szCs w:val="28"/>
        </w:rPr>
      </w:pPr>
      <w:r w:rsidRPr="00B33CB5">
        <w:rPr>
          <w:rFonts w:ascii="Times New Roman" w:hAnsi="Times New Roman"/>
          <w:sz w:val="28"/>
          <w:szCs w:val="28"/>
        </w:rPr>
        <w:t>(Харків, Україна)</w:t>
      </w:r>
    </w:p>
    <w:p w:rsidR="00AD6F40" w:rsidRDefault="00AD6F40" w:rsidP="00267507">
      <w:pPr>
        <w:ind w:firstLine="709"/>
        <w:jc w:val="center"/>
        <w:rPr>
          <w:rFonts w:ascii="Times New Roman" w:hAnsi="Times New Roman"/>
          <w:sz w:val="28"/>
          <w:szCs w:val="28"/>
        </w:rPr>
      </w:pPr>
    </w:p>
    <w:p w:rsidR="00AD6F40" w:rsidRDefault="00AD6F40" w:rsidP="00267507">
      <w:pPr>
        <w:ind w:firstLine="709"/>
        <w:jc w:val="center"/>
        <w:rPr>
          <w:rFonts w:ascii="Times New Roman" w:hAnsi="Times New Roman"/>
          <w:b/>
          <w:sz w:val="28"/>
          <w:szCs w:val="28"/>
        </w:rPr>
      </w:pPr>
      <w:r w:rsidRPr="00267507">
        <w:rPr>
          <w:rFonts w:ascii="Times New Roman" w:hAnsi="Times New Roman"/>
          <w:b/>
          <w:sz w:val="28"/>
          <w:szCs w:val="28"/>
        </w:rPr>
        <w:t>ІНТЕЛЕКТУАЛЬНА ВЛАСНІСТЬ ЯК ОБ</w:t>
      </w:r>
      <w:r w:rsidRPr="00267507">
        <w:rPr>
          <w:rFonts w:ascii="Times New Roman" w:hAnsi="Times New Roman"/>
          <w:b/>
          <w:sz w:val="28"/>
          <w:szCs w:val="28"/>
          <w:lang w:val="ru-RU"/>
        </w:rPr>
        <w:t>’</w:t>
      </w:r>
      <w:r w:rsidRPr="00267507">
        <w:rPr>
          <w:rFonts w:ascii="Times New Roman" w:hAnsi="Times New Roman"/>
          <w:b/>
          <w:sz w:val="28"/>
          <w:szCs w:val="28"/>
        </w:rPr>
        <w:t>ЄКТ ЕКОНОМІЧНИХ ВІДНОСИН</w:t>
      </w:r>
    </w:p>
    <w:p w:rsidR="00AD6F40" w:rsidRPr="00267507" w:rsidRDefault="00AD6F40" w:rsidP="00267507">
      <w:pPr>
        <w:ind w:firstLine="709"/>
        <w:jc w:val="center"/>
        <w:rPr>
          <w:rFonts w:ascii="Times New Roman" w:hAnsi="Times New Roman"/>
          <w:b/>
          <w:sz w:val="28"/>
          <w:szCs w:val="28"/>
        </w:rPr>
      </w:pP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Сьогодні питання про стабілізацію економічних відносин і перспективи економічного розвитку українського суспільства вирішується крізь призму ідеї інформаційного суспільства. Формування в Україні інформаційного суспільства, загальне впровадження інновацій і забезпечення відповідних позицій у світовому співтоваристві неможливі без розвитку і вдосконалення відносин у сфері інтелектуальної власності.</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З другої половини XX ст. позначилися дві основні тенденції, що стосуються інтелектуальної власності. Перша – посилення захисту інтелектуальної власності компаніями, друга – зростання кількості ринкових операцій з інтелектуальною власністю. Тім Джексон описує ці тенденції в книзі «Intel Inside»: «З 1974 р. компанії стали більш уважно ставитися до співробітників і до своєї інтелектуальної власності. Судові розгляди стали звичайним явищем, а компанії почали використовувати патенти, щоб отримувати значні роялті від своїх конкурентів або укладати широкомасштабні угоди про перехресне ліцензування. Патенти, торгові секрети та інші форми інтелектуальної власності стали використовуватися компаніями, як комерційна зброя »[1].</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Зростання ринкових операцій з інтелектуальною власністю фахівці в основному пов’язують із загальною комодифікацією і зростаючою схильністю компаній до екстерналізації частини функцій. Комодифікацією прихильники теорії суспільства споживання і розвиненого капіталізму називають процес того, що все більше число різних видів людської діяльності знаходить грошову вартість і фактично стає товарами, що купуються і продаються на ринку.</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Результати інтелектуальної діяльності не є винятком і все частіше пропонуються в якості товару на ринку. Попит на цей товар визначається схильністю компаній до екстерналізації. Вона проявляється, зокрема, в зростанні аутсорсингу і виробництва за контрактом. Ці тенденції свідчать про готовність сучасної компанії відмовлятися від самостійного відтворення частини бізнес-процесів, а також подоланні синдрому «винайдено не тут». Компанії воліють купувати інтелектуальну власність у випадках, коли це потребує менше витрат, ніж якщо проводити самостійні розробки, або при відсутності власних фахівців потрібного профілю. Інтерес до проблеми інтелектуальної власності зростає як з боку бізнесу, так і з боку наукового співтовариства.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Поняття інтелектуальної власності є складним і неоднозначним. У міжнародній термінології інтелектуальна власність звучить як intellectual property. В.А. Дозорцев називає термін «інтелектуальна власність» плодом неправильного перекладу. Англійське «property» дослівно перекладається як майно без вказівки на відносини власності, для яких використовується інший термін «ownership» [2].</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В результаті поняття «інтелектуальна власність» трактується двояко: з одного боку, як «творіння людського розуму», тобто об’єкти, а з іншого боку, як відносини з приводу цих об’єктів. У ЦК України об’єкти називаються «результатами інтелектуальної діяльності». У науковому і діловому середовищі немає єдиної точки зору на поняття інтелектуальна власність. Дискусії виникають щодо інтелектуальної власності, і як об’єкта, і як відносин.</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В економіці інтелектуальна власність може бути об’єктом різних відносин, в яких виконує різні ролі. На кожній стадії відносин інтелектуальної власності від її створення до використання ключове значення має суб’єкт, який має по відношенню до неї набір («пучок») тих чи інших правочинів. Залежно від характеру цих правочинів, суб’єкт вступає в ринкові відносини, які визначають подальшу долю інтелектуальної власності, тобто її перехід на наступну стадію перетворення.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Перша стадія – це створення ідеального об’єкта, наприклад, концепції, механізму, рішення бізнес завдання, творів мистецтва, програмного забезпечення, технології виробництва і т.д. Творіння людського розуму відносяться до нематеріального світу. Інтелект породжує ідеї. Ідея – це зафіксоване в будь-якому коді уявлення про будову об’єкта, про суть процесу, про причини і наслідки явищ – все те, що дозволяє передати об’єктивне повідомлення про об’єкт або реалізувати його якимось об’єктивним способом.</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Пропонується в якості інтелектуальної власності розглядати будь-яку ідею, яка володіє новизною, обґрунтованістю і товарністю. Так, в творах мистецтва і наукових роботах треба захищати не форму, а ідею, в програмах для ЕОМ – не код, а алгоритм. Ідея є найціннішим і вигідним товаром.</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В інформаційному суспільстві пріоритетного значення набуває проблема регулювання інформації як такої, не «прив’язаної» до специфіки свого матеріального носія і форми її подання. Таким чином, інтелектуальною власністю є ідеальний об’єкт, який «сконструйований» зусиллями людського інтелекту і, можливо, вже втілений в матеріальному світі.</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При створенні ідеального об’єкта автор автоматично наділяється особистими немайновими правами, тобто авторським правом і правом на винагороду. Ці права зафіксовані в 27 статті Загальної декларації прав людини: «Кожна людина має право на захист її моральних і матеріальних інтересів, що є результатом наукових, літературних або художніх праць, автором яких вона є» [3]. У другому типі відносин інтелектуальної власності суб’єктом є правовласник. Можливо, що творець і власник прав – одна і та ж особа, але в комерційному обороті, як правило, це два різних суб’єкта. У разі якщо об’єкт відноситься до творів мистецтва, правомочності правовласника регулюються суміжними правами. Правовласником може бути видавець, публікатор, виконавець, продюсер і т.д.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У разі якщо об’єкт є винаходом, корисною моделлю, промисловим зразком, товарним знаком, фірмовим найменуванням, ноу-хау, правомочності правовласника регулюються інститутом промислової власності. Промислова власність передбачає, що виключними правами на об’єкт володіє організація. Вона приймає рішення про подальшу правову фіксацію результату інтелектуальної діяльності – або за допомогою патентування, або реєстрації товарного знака, або збереження у внутрішній документації в режимі комерційної таємниці.</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Правовласник приймає рішення про подальший спосіб використання інтелектуальної власності. Для нього інтелектуальна власність є активом, який повинен принести майбутні вигоди.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Як актив інтелектуальна власність всередині фірми має такі властивості: вона захищена відповідним законом, відокремлена від людини, зафіксована на якомусь носії і є запорукою конкурентної переваги та інноваційності компанії. В результаті під інтелектуальною власністю для компанії можна розуміти явні задокументовані знання, захищені законодавчо, які здатні приносити дохід у вигляді їх самостійного використання або комерціалізації. Все більше фахівців розробляють теорії управління знаннями, інтелектуальним капіталом, людським капіталом в організації і схиляються до того, що саме нематеріальні складові стають основними «генераторами» доходу в умовах інноваційної економіки.</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На стадії, коли об’єкт інтелектуальної власності виступає в ролі нематеріального активу, в організації приймається рішення або про самостійне використання об’єкта, або про його комерціалізації.</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На наступній стадії відносин з приводу інтелектуальної власності суб’єктом є комерціалізатор. Як правило, цю роль виконує правовласник. Або правовласник може передати інтелектуальну власність іншому суб’єкту на правах довірчого управління, в рамках агентської угоди або іншими способами. Відносини, що виникають в процесі комерціалізації, регулюються законами ринку і контрактними умовами. Інтелектуальна власність, стаючи об’єктом ділового обороту, виступає в ролі інтелектуального товару. Інтелектуальний товар – продукт інтелектуальної діяльності, який задовольняє потребу, пропонується ринку, має вартість і формується в процесі комерціалізації [4].</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Інтелектуальний товар повинен мати потенціал реалізації на ринку. Цей потенціал має на увазі, що, по-перше, об’єкт має форму, яка дозволяє його відчужувати і передавати новому власнику або користувачеві; по-друге, на нього є попит на ринку, тобто об’єкт принесе набувачеві дохід в процесі експлуатації; по-третє, об’єкт можна оцінити, щоб привласнити йому вартість реалізації.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Поетапним розвитком потенціалу об’єкта комерціалізації займається суб’єкт – комерціалізатор. Він вибирає спосіб реалізації товару – або відчуження прав на нього, або наданням у тимчасове користування. Основними способами відчуження інтелектуального товару є: продаж прав на об’єкт третій стороні; надання інжинірингових та консалтингових послуг; створення спін-оф / спін-аут компанії, внеском в капітал якої є інтелектуальна власність; продаж компанії, в активах якої значну частину займає інтелектуальна власність; спільна діяльність з вкладенням інтелектуальної власності.</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В результаті комерціалізації інтелектуальна власність потрапляє або до іншого правовласнику у разі відчуження, або до користувача, який отримав право доступу. Якщо в звітності правовласника інтелектуальна власність відображена в категорії нематеріальних активів, то у користувача вона відображена в категорії витрат.</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Завершальною стадією трансформації ролі інтелектуальної власності є споживання створеного нею корисного ефекту. Наприклад, задоволення потреб кінцевих покупців шляхом використання товару, створеного користувачем інтелектуальної власності.</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Окремої уваги потребує спосіб захисту об’єктів інтелектуальної власності. Визначення способу правового захисту є одним з основних критеріїв віднесення об’єкта до інтелектуальної власності. В силу свого походження «ідеальні об’єкти» не мають речової форми, тому набагато мобільніші, ніж об’єкти матеріального світу. Також їх складніше ідентифікувати, легше скопіювати і можливо використовувати необмеженому колу осіб. У зв’язку зі специфічними властивостями об’єкти інтелектуальної власності потребують особливого правового захисту. Він визначає межі результатів інтелектуальної діяльності, захищає і дозволяє передавати їх. Він робить права інтелектуальної власності «видимими» і  обґрунтованими.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Специфіка основних видів інтелектуальної власності та їх захисту описана в міжнародних угодах і законодавстві кожної країни. Захист інтелектуальної власності визначає вигляд інтелектуального товару і особливості його комерціалізації та використання. Прийнято виділяти такі законодавчі форми захисту інтелектуальної власності в порядку убування сили правової охорони: патентний захист, захист коштів індивідуалізації, захист авторських прав, захист секретів виробництва (ноу-хау).</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 xml:space="preserve">Крім юридично встановлених, існують «природні» способи захисту інтелектуальної власності від імітації. Вони виникають за рахунок унікальності інтелектуального капіталу організації. Конкуренти не стануть імітувати об’єкт інтелектуальної власності, якщо не розуміють, як це зробити, або знають, що імітація вимагає великих витрат. Ситуація «Ми знаємо, що робити, але не знаємо як» можлива, коли для створення об’єкта інтелектуальної власності необхідні певні накопичені явні і неявні знання, набір специфічних ресурсів, доступ до обмежених ресурсів і т.д., тобто унікальний інтелектуальний капітал. Як правило, конкурентам не вистачає інформації для імітації, а вартість придбання, аналізу та застосування інформації про ресурс, який треба зімітувати, перевищує вигоди від його імітації. </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rPr>
        <w:t>Висновок. Як об’єкт економічних відносин інтелектуальна власність постає в різних ролях, виконуючи різні функції для суб’єктів економічних відносин. Вона проходить стадії ідеального об’єкта, нематеріального активу, інтелектуального товару і інтелектуального ресурсу. Також до інтелектуальної власності відносять способи захисту результатів інтелектуальної праці, які допомагають відокремити об’єкт інтелектуальної власності від інших об’єктів нематеріальної світу. Відносини з приводу інтелектуальної власності визначені нечітко через їхню відносну новизни і специфічних властивостей об’єкта. Тому суб’єктам відносин з приводу інтелектуальної власності важливо розуміти цілі і завдання, що стоять перед ними, особливості об’єкта і інтереси контрагента. Таке розуміння дозволить найбільш грамотно будувати стратегію захисту та максимізації доходу від використання і комерціалізації інтелектуальної власності.</w:t>
      </w:r>
    </w:p>
    <w:p w:rsidR="00AD6F40" w:rsidRPr="00267507" w:rsidRDefault="00AD6F40" w:rsidP="00267507">
      <w:pPr>
        <w:ind w:firstLine="709"/>
        <w:jc w:val="both"/>
        <w:rPr>
          <w:rFonts w:ascii="Times New Roman" w:hAnsi="Times New Roman"/>
          <w:sz w:val="28"/>
          <w:szCs w:val="28"/>
        </w:rPr>
      </w:pPr>
    </w:p>
    <w:p w:rsidR="00AD6F40" w:rsidRPr="00267507" w:rsidRDefault="00AD6F40" w:rsidP="00B33CB5">
      <w:pPr>
        <w:ind w:firstLine="709"/>
        <w:jc w:val="left"/>
        <w:rPr>
          <w:rFonts w:ascii="Times New Roman" w:hAnsi="Times New Roman"/>
          <w:b/>
          <w:sz w:val="28"/>
          <w:szCs w:val="28"/>
        </w:rPr>
      </w:pPr>
      <w:r w:rsidRPr="00267507">
        <w:rPr>
          <w:rFonts w:ascii="Times New Roman" w:hAnsi="Times New Roman"/>
          <w:b/>
          <w:sz w:val="28"/>
          <w:szCs w:val="28"/>
        </w:rPr>
        <w:t>Література:</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lang w:val="ru-RU"/>
        </w:rPr>
        <w:t>1. Тим Джексон Intel Inside История корпорации, совершившей технологическую революцию ХХ века / Т. Джексон. – М. : Альпина Паблишер</w:t>
      </w:r>
      <w:r w:rsidRPr="00267507">
        <w:rPr>
          <w:rFonts w:ascii="Times New Roman" w:hAnsi="Times New Roman"/>
          <w:sz w:val="28"/>
          <w:szCs w:val="28"/>
        </w:rPr>
        <w:t>, 2013. – 328 с.</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lang w:val="ru-RU"/>
        </w:rPr>
        <w:t>2. Дозорцев В.А. Интеллектуальные права: Понятие. Система. Задачи кодификации: Сборник статей. – Исследовательский центр частого</w:t>
      </w:r>
      <w:r w:rsidRPr="00267507">
        <w:rPr>
          <w:rFonts w:ascii="Times New Roman" w:hAnsi="Times New Roman"/>
          <w:sz w:val="28"/>
          <w:szCs w:val="28"/>
        </w:rPr>
        <w:t xml:space="preserve"> права. – М. : Статут, 2003. – 416 с.</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lang w:val="ru-RU"/>
        </w:rPr>
        <w:t xml:space="preserve">3. </w:t>
      </w:r>
      <w:r w:rsidRPr="00267507">
        <w:rPr>
          <w:rFonts w:ascii="Times New Roman" w:hAnsi="Times New Roman"/>
          <w:sz w:val="28"/>
          <w:szCs w:val="28"/>
        </w:rPr>
        <w:t xml:space="preserve">Загальна декларація прав людини </w:t>
      </w:r>
      <w:r w:rsidRPr="00267507">
        <w:rPr>
          <w:rFonts w:ascii="Times New Roman" w:hAnsi="Times New Roman"/>
          <w:sz w:val="28"/>
          <w:szCs w:val="28"/>
          <w:lang w:val="ru-RU"/>
        </w:rPr>
        <w:t>[</w:t>
      </w:r>
      <w:r w:rsidRPr="00267507">
        <w:rPr>
          <w:rFonts w:ascii="Times New Roman" w:hAnsi="Times New Roman"/>
          <w:sz w:val="28"/>
          <w:szCs w:val="28"/>
        </w:rPr>
        <w:t>Електрон. ресурс</w:t>
      </w:r>
      <w:r w:rsidRPr="00267507">
        <w:rPr>
          <w:rFonts w:ascii="Times New Roman" w:hAnsi="Times New Roman"/>
          <w:sz w:val="28"/>
          <w:szCs w:val="28"/>
          <w:lang w:val="ru-RU"/>
        </w:rPr>
        <w:t xml:space="preserve">]. – Режим доступу: </w:t>
      </w:r>
      <w:hyperlink r:id="rId5" w:history="1">
        <w:r w:rsidRPr="00267507">
          <w:rPr>
            <w:rStyle w:val="Hyperlink"/>
            <w:rFonts w:ascii="Times New Roman" w:hAnsi="Times New Roman"/>
            <w:color w:val="auto"/>
            <w:sz w:val="28"/>
            <w:szCs w:val="28"/>
            <w:u w:val="none"/>
            <w:lang w:val="en-US"/>
          </w:rPr>
          <w:t>http</w:t>
        </w:r>
        <w:r w:rsidRPr="00267507">
          <w:rPr>
            <w:rStyle w:val="Hyperlink"/>
            <w:rFonts w:ascii="Times New Roman" w:hAnsi="Times New Roman"/>
            <w:color w:val="auto"/>
            <w:sz w:val="28"/>
            <w:szCs w:val="28"/>
            <w:u w:val="none"/>
            <w:lang w:val="ru-RU"/>
          </w:rPr>
          <w:t>://</w:t>
        </w:r>
        <w:r w:rsidRPr="00267507">
          <w:rPr>
            <w:rStyle w:val="Hyperlink"/>
            <w:rFonts w:ascii="Times New Roman" w:hAnsi="Times New Roman"/>
            <w:color w:val="auto"/>
            <w:sz w:val="28"/>
            <w:szCs w:val="28"/>
            <w:u w:val="none"/>
            <w:lang w:val="en-US"/>
          </w:rPr>
          <w:t>library</w:t>
        </w:r>
        <w:r w:rsidRPr="00267507">
          <w:rPr>
            <w:rStyle w:val="Hyperlink"/>
            <w:rFonts w:ascii="Times New Roman" w:hAnsi="Times New Roman"/>
            <w:color w:val="auto"/>
            <w:sz w:val="28"/>
            <w:szCs w:val="28"/>
            <w:u w:val="none"/>
            <w:lang w:val="ru-RU"/>
          </w:rPr>
          <w:t>.</w:t>
        </w:r>
        <w:r w:rsidRPr="00267507">
          <w:rPr>
            <w:rStyle w:val="Hyperlink"/>
            <w:rFonts w:ascii="Times New Roman" w:hAnsi="Times New Roman"/>
            <w:color w:val="auto"/>
            <w:sz w:val="28"/>
            <w:szCs w:val="28"/>
            <w:u w:val="none"/>
            <w:lang w:val="en-US"/>
          </w:rPr>
          <w:t>khpg</w:t>
        </w:r>
        <w:r w:rsidRPr="00267507">
          <w:rPr>
            <w:rStyle w:val="Hyperlink"/>
            <w:rFonts w:ascii="Times New Roman" w:hAnsi="Times New Roman"/>
            <w:color w:val="auto"/>
            <w:sz w:val="28"/>
            <w:szCs w:val="28"/>
            <w:u w:val="none"/>
            <w:lang w:val="ru-RU"/>
          </w:rPr>
          <w:t>.</w:t>
        </w:r>
        <w:r w:rsidRPr="00267507">
          <w:rPr>
            <w:rStyle w:val="Hyperlink"/>
            <w:rFonts w:ascii="Times New Roman" w:hAnsi="Times New Roman"/>
            <w:color w:val="auto"/>
            <w:sz w:val="28"/>
            <w:szCs w:val="28"/>
            <w:u w:val="none"/>
            <w:lang w:val="en-US"/>
          </w:rPr>
          <w:t>org</w:t>
        </w:r>
        <w:r w:rsidRPr="00267507">
          <w:rPr>
            <w:rStyle w:val="Hyperlink"/>
            <w:rFonts w:ascii="Times New Roman" w:hAnsi="Times New Roman"/>
            <w:color w:val="auto"/>
            <w:sz w:val="28"/>
            <w:szCs w:val="28"/>
            <w:u w:val="none"/>
            <w:lang w:val="ru-RU"/>
          </w:rPr>
          <w:t>/</w:t>
        </w:r>
        <w:r w:rsidRPr="00267507">
          <w:rPr>
            <w:rStyle w:val="Hyperlink"/>
            <w:rFonts w:ascii="Times New Roman" w:hAnsi="Times New Roman"/>
            <w:color w:val="auto"/>
            <w:sz w:val="28"/>
            <w:szCs w:val="28"/>
            <w:u w:val="none"/>
            <w:lang w:val="en-US"/>
          </w:rPr>
          <w:t>files</w:t>
        </w:r>
        <w:r w:rsidRPr="00267507">
          <w:rPr>
            <w:rStyle w:val="Hyperlink"/>
            <w:rFonts w:ascii="Times New Roman" w:hAnsi="Times New Roman"/>
            <w:color w:val="auto"/>
            <w:sz w:val="28"/>
            <w:szCs w:val="28"/>
            <w:u w:val="none"/>
            <w:lang w:val="ru-RU"/>
          </w:rPr>
          <w:t>/</w:t>
        </w:r>
        <w:r w:rsidRPr="00267507">
          <w:rPr>
            <w:rStyle w:val="Hyperlink"/>
            <w:rFonts w:ascii="Times New Roman" w:hAnsi="Times New Roman"/>
            <w:color w:val="auto"/>
            <w:sz w:val="28"/>
            <w:szCs w:val="28"/>
            <w:u w:val="none"/>
            <w:lang w:val="en-US"/>
          </w:rPr>
          <w:t>docs</w:t>
        </w:r>
        <w:r w:rsidRPr="00267507">
          <w:rPr>
            <w:rStyle w:val="Hyperlink"/>
            <w:rFonts w:ascii="Times New Roman" w:hAnsi="Times New Roman"/>
            <w:color w:val="auto"/>
            <w:sz w:val="28"/>
            <w:szCs w:val="28"/>
            <w:u w:val="none"/>
            <w:lang w:val="ru-RU"/>
          </w:rPr>
          <w:t>/1359660401.</w:t>
        </w:r>
        <w:r w:rsidRPr="00267507">
          <w:rPr>
            <w:rStyle w:val="Hyperlink"/>
            <w:rFonts w:ascii="Times New Roman" w:hAnsi="Times New Roman"/>
            <w:color w:val="auto"/>
            <w:sz w:val="28"/>
            <w:szCs w:val="28"/>
            <w:u w:val="none"/>
            <w:lang w:val="en-US"/>
          </w:rPr>
          <w:t>pdf</w:t>
        </w:r>
      </w:hyperlink>
      <w:r w:rsidRPr="00267507">
        <w:rPr>
          <w:rFonts w:ascii="Times New Roman" w:hAnsi="Times New Roman"/>
          <w:sz w:val="28"/>
          <w:szCs w:val="28"/>
          <w:lang w:val="ru-RU"/>
        </w:rPr>
        <w:t>.</w:t>
      </w:r>
    </w:p>
    <w:p w:rsidR="00AD6F40" w:rsidRPr="00267507" w:rsidRDefault="00AD6F40" w:rsidP="00267507">
      <w:pPr>
        <w:ind w:firstLine="709"/>
        <w:jc w:val="both"/>
        <w:rPr>
          <w:rFonts w:ascii="Times New Roman" w:hAnsi="Times New Roman"/>
          <w:sz w:val="28"/>
          <w:szCs w:val="28"/>
        </w:rPr>
      </w:pPr>
      <w:r w:rsidRPr="00267507">
        <w:rPr>
          <w:rFonts w:ascii="Times New Roman" w:hAnsi="Times New Roman"/>
          <w:sz w:val="28"/>
          <w:szCs w:val="28"/>
          <w:lang w:val="ru-RU"/>
        </w:rPr>
        <w:t>4. Мухин В.И. Управление интеллектуальной собственностью: учебник для студ. вузов, обуч. по спец. "Менеджмент" / В. И. Мухин. - М. : Владос, 2007. - 335</w:t>
      </w:r>
      <w:r w:rsidRPr="00267507">
        <w:rPr>
          <w:rFonts w:ascii="Times New Roman" w:hAnsi="Times New Roman"/>
          <w:sz w:val="28"/>
          <w:szCs w:val="28"/>
        </w:rPr>
        <w:t xml:space="preserve"> с.</w:t>
      </w:r>
    </w:p>
    <w:p w:rsidR="00AD6F40" w:rsidRPr="00267507" w:rsidRDefault="00AD6F40" w:rsidP="00267507">
      <w:pPr>
        <w:ind w:firstLine="709"/>
        <w:jc w:val="center"/>
        <w:rPr>
          <w:rFonts w:ascii="Times New Roman" w:hAnsi="Times New Roman"/>
          <w:b/>
          <w:sz w:val="28"/>
          <w:szCs w:val="28"/>
        </w:rPr>
      </w:pPr>
    </w:p>
    <w:p w:rsidR="00AD6F40" w:rsidRDefault="00AD6F40" w:rsidP="00267507">
      <w:pPr>
        <w:pStyle w:val="ListParagraph"/>
        <w:ind w:left="0" w:firstLine="709"/>
        <w:rPr>
          <w:rFonts w:ascii="Times New Roman" w:hAnsi="Times New Roman"/>
          <w:sz w:val="28"/>
          <w:szCs w:val="28"/>
        </w:rPr>
      </w:pPr>
      <w:r>
        <w:rPr>
          <w:rFonts w:ascii="Times New Roman" w:hAnsi="Times New Roman"/>
          <w:b/>
          <w:sz w:val="28"/>
          <w:szCs w:val="28"/>
        </w:rPr>
        <w:t xml:space="preserve">Науковий </w:t>
      </w:r>
      <w:r w:rsidRPr="00267507">
        <w:rPr>
          <w:rFonts w:ascii="Times New Roman" w:hAnsi="Times New Roman"/>
          <w:b/>
          <w:sz w:val="28"/>
          <w:szCs w:val="28"/>
        </w:rPr>
        <w:t>керівник</w:t>
      </w:r>
      <w:r w:rsidRPr="00267507">
        <w:rPr>
          <w:rFonts w:ascii="Times New Roman" w:hAnsi="Times New Roman"/>
          <w:sz w:val="28"/>
          <w:szCs w:val="28"/>
        </w:rPr>
        <w:t xml:space="preserve">: </w:t>
      </w:r>
    </w:p>
    <w:p w:rsidR="00AD6F40" w:rsidRPr="003A7571" w:rsidRDefault="00AD6F40" w:rsidP="00B33CB5">
      <w:pPr>
        <w:pStyle w:val="ListParagraph"/>
        <w:ind w:left="0"/>
        <w:rPr>
          <w:szCs w:val="28"/>
        </w:rPr>
      </w:pPr>
      <w:r>
        <w:rPr>
          <w:szCs w:val="28"/>
        </w:rPr>
        <w:t xml:space="preserve">кандидат </w:t>
      </w:r>
      <w:r w:rsidRPr="003A7571">
        <w:rPr>
          <w:szCs w:val="28"/>
        </w:rPr>
        <w:t>ю</w:t>
      </w:r>
      <w:r>
        <w:rPr>
          <w:szCs w:val="28"/>
        </w:rPr>
        <w:t xml:space="preserve">ридичних </w:t>
      </w:r>
      <w:r w:rsidRPr="003A7571">
        <w:rPr>
          <w:szCs w:val="28"/>
        </w:rPr>
        <w:t>н</w:t>
      </w:r>
      <w:r>
        <w:rPr>
          <w:szCs w:val="28"/>
        </w:rPr>
        <w:t>аук</w:t>
      </w:r>
      <w:r w:rsidRPr="003A7571">
        <w:rPr>
          <w:szCs w:val="28"/>
        </w:rPr>
        <w:t xml:space="preserve">, доцент </w:t>
      </w:r>
      <w:r>
        <w:rPr>
          <w:szCs w:val="28"/>
        </w:rPr>
        <w:t>Єрофєєнко Л.В.</w:t>
      </w:r>
    </w:p>
    <w:p w:rsidR="00AD6F40" w:rsidRDefault="00AD6F40" w:rsidP="00267507">
      <w:pPr>
        <w:ind w:firstLine="709"/>
        <w:rPr>
          <w:rFonts w:ascii="Times New Roman" w:hAnsi="Times New Roman"/>
          <w:b/>
          <w:sz w:val="28"/>
          <w:szCs w:val="28"/>
        </w:rPr>
      </w:pPr>
    </w:p>
    <w:p w:rsidR="00AD6F40" w:rsidRPr="00267507" w:rsidRDefault="00AD6F40" w:rsidP="00267507">
      <w:pPr>
        <w:ind w:firstLine="709"/>
        <w:rPr>
          <w:rFonts w:ascii="Times New Roman" w:hAnsi="Times New Roman"/>
          <w:sz w:val="28"/>
          <w:szCs w:val="28"/>
        </w:rPr>
      </w:pPr>
    </w:p>
    <w:sectPr w:rsidR="00AD6F40" w:rsidRPr="00267507" w:rsidSect="0026750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7F1B"/>
    <w:multiLevelType w:val="hybridMultilevel"/>
    <w:tmpl w:val="FD9CDE96"/>
    <w:lvl w:ilvl="0" w:tplc="D30C0CB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492E2EEA"/>
    <w:multiLevelType w:val="hybridMultilevel"/>
    <w:tmpl w:val="9572D272"/>
    <w:lvl w:ilvl="0" w:tplc="85DE05B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5B8D7BB2"/>
    <w:multiLevelType w:val="hybridMultilevel"/>
    <w:tmpl w:val="53460880"/>
    <w:lvl w:ilvl="0" w:tplc="B842314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0408"/>
    <w:rsid w:val="0014305C"/>
    <w:rsid w:val="00152DF3"/>
    <w:rsid w:val="0015541F"/>
    <w:rsid w:val="00211DFD"/>
    <w:rsid w:val="00240C43"/>
    <w:rsid w:val="00267507"/>
    <w:rsid w:val="00285715"/>
    <w:rsid w:val="00286557"/>
    <w:rsid w:val="002D287E"/>
    <w:rsid w:val="003111CF"/>
    <w:rsid w:val="003573F8"/>
    <w:rsid w:val="0038565B"/>
    <w:rsid w:val="003914B1"/>
    <w:rsid w:val="003A7571"/>
    <w:rsid w:val="003B27D2"/>
    <w:rsid w:val="00426BD8"/>
    <w:rsid w:val="004B2EAF"/>
    <w:rsid w:val="004D4652"/>
    <w:rsid w:val="005250B5"/>
    <w:rsid w:val="00556051"/>
    <w:rsid w:val="005576D5"/>
    <w:rsid w:val="00592561"/>
    <w:rsid w:val="005A2FF7"/>
    <w:rsid w:val="005E4F27"/>
    <w:rsid w:val="005F1A1F"/>
    <w:rsid w:val="00643030"/>
    <w:rsid w:val="00652FE3"/>
    <w:rsid w:val="00667EB3"/>
    <w:rsid w:val="006706F8"/>
    <w:rsid w:val="006A0408"/>
    <w:rsid w:val="007119F2"/>
    <w:rsid w:val="007367AA"/>
    <w:rsid w:val="00753942"/>
    <w:rsid w:val="007570A6"/>
    <w:rsid w:val="00764A09"/>
    <w:rsid w:val="007A0722"/>
    <w:rsid w:val="007E3339"/>
    <w:rsid w:val="00864E99"/>
    <w:rsid w:val="008A5D9B"/>
    <w:rsid w:val="008A7023"/>
    <w:rsid w:val="008D1555"/>
    <w:rsid w:val="008E6711"/>
    <w:rsid w:val="008E753C"/>
    <w:rsid w:val="00903E8D"/>
    <w:rsid w:val="00907D16"/>
    <w:rsid w:val="00954426"/>
    <w:rsid w:val="00962422"/>
    <w:rsid w:val="009761D6"/>
    <w:rsid w:val="00A81173"/>
    <w:rsid w:val="00A851F4"/>
    <w:rsid w:val="00AD6F40"/>
    <w:rsid w:val="00AF1AC1"/>
    <w:rsid w:val="00B06B56"/>
    <w:rsid w:val="00B33CB5"/>
    <w:rsid w:val="00B519EC"/>
    <w:rsid w:val="00C55DB0"/>
    <w:rsid w:val="00D32170"/>
    <w:rsid w:val="00DE2980"/>
    <w:rsid w:val="00E43B29"/>
    <w:rsid w:val="00E60810"/>
    <w:rsid w:val="00E61AAC"/>
    <w:rsid w:val="00EC4FF0"/>
    <w:rsid w:val="00EC7556"/>
    <w:rsid w:val="00EE3AFA"/>
    <w:rsid w:val="00F71AEE"/>
    <w:rsid w:val="00F87BE6"/>
    <w:rsid w:val="00F97F5A"/>
    <w:rsid w:val="00FD02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9EC"/>
    <w:pPr>
      <w:spacing w:line="360" w:lineRule="auto"/>
      <w:jc w:val="right"/>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706F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E3AFA"/>
    <w:pPr>
      <w:ind w:left="720"/>
      <w:contextualSpacing/>
    </w:pPr>
  </w:style>
  <w:style w:type="character" w:styleId="Hyperlink">
    <w:name w:val="Hyperlink"/>
    <w:basedOn w:val="DefaultParagraphFont"/>
    <w:uiPriority w:val="99"/>
    <w:rsid w:val="00B06B5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09056882">
      <w:marLeft w:val="0"/>
      <w:marRight w:val="0"/>
      <w:marTop w:val="0"/>
      <w:marBottom w:val="0"/>
      <w:divBdr>
        <w:top w:val="none" w:sz="0" w:space="0" w:color="auto"/>
        <w:left w:val="none" w:sz="0" w:space="0" w:color="auto"/>
        <w:bottom w:val="none" w:sz="0" w:space="0" w:color="auto"/>
        <w:right w:val="none" w:sz="0" w:space="0" w:color="auto"/>
      </w:divBdr>
    </w:div>
    <w:div w:id="1809056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brary.khpg.org/files/docs/135966040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8198</Words>
  <Characters>4673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Admin</cp:lastModifiedBy>
  <cp:revision>4</cp:revision>
  <dcterms:created xsi:type="dcterms:W3CDTF">2018-11-14T16:25:00Z</dcterms:created>
  <dcterms:modified xsi:type="dcterms:W3CDTF">2018-11-18T07:30:00Z</dcterms:modified>
</cp:coreProperties>
</file>