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300" w:rsidRPr="00E31546" w:rsidRDefault="00610300" w:rsidP="009014B5">
      <w:pPr>
        <w:spacing w:line="360" w:lineRule="auto"/>
        <w:ind w:firstLine="709"/>
        <w:contextualSpacing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3154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Тетяна Горан </w:t>
      </w:r>
    </w:p>
    <w:p w:rsidR="00610300" w:rsidRPr="00E31546" w:rsidRDefault="00610300" w:rsidP="009014B5">
      <w:pPr>
        <w:spacing w:line="360" w:lineRule="auto"/>
        <w:ind w:firstLine="709"/>
        <w:contextualSpacing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31546">
        <w:rPr>
          <w:rFonts w:ascii="Times New Roman" w:hAnsi="Times New Roman"/>
          <w:b/>
          <w:color w:val="000000"/>
          <w:sz w:val="28"/>
          <w:szCs w:val="28"/>
          <w:lang w:val="uk-UA"/>
        </w:rPr>
        <w:t>(Івано-Франківськ, Україна)</w:t>
      </w:r>
    </w:p>
    <w:p w:rsidR="00610300" w:rsidRPr="00E55DBD" w:rsidRDefault="00610300" w:rsidP="009014B5">
      <w:pPr>
        <w:spacing w:line="360" w:lineRule="auto"/>
        <w:ind w:firstLine="709"/>
        <w:contextualSpacing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10300" w:rsidRDefault="00610300" w:rsidP="009014B5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b/>
          <w:color w:val="000000"/>
          <w:sz w:val="28"/>
          <w:szCs w:val="28"/>
          <w:lang w:val="uk-UA"/>
        </w:rPr>
        <w:t>ІСТОРІЯ РОЗВИТКУ АДМІНІСТРАТИВНО-ТЕРИТОРІАЛЬНОЇ СТРУКТУРИ ПЕРЕМИШЛЬ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СЬКОЇ ГРЕКО-КАТОЛИЦЬКОЇ ЄПАРХІЇ</w:t>
      </w:r>
    </w:p>
    <w:p w:rsidR="00610300" w:rsidRPr="00E55DBD" w:rsidRDefault="00610300" w:rsidP="009014B5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10300" w:rsidRPr="00E55DBD" w:rsidRDefault="00610300" w:rsidP="00E55DBD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початку ХХІ століття швидкими темпами відбувається розвиток адміністративно-територіальної структури Української греко-католицької церкви. В цьому плані цікавими є історичні особливості становлення адміністративної структури ПеремишльськоїГреко-католицької церкви до середини ХХ століття. </w:t>
      </w:r>
    </w:p>
    <w:p w:rsidR="00610300" w:rsidRPr="00E55DBD" w:rsidRDefault="00610300" w:rsidP="00E55DBD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>Розвиток організаційної структури ГКЦ відбувався на двох рівнях: адміністративно-територіальному, на якому основну ланку Церкви становили єпархії, що у свою чергу поділялися на деканати, а групи єпархій об’єднуються в митрополію, та ієрархічному або адміністративно-управлінському. Структурними елементами останнього були насамперед єпископи (ординарій та помічник), адміністративні органи, які безпосередньо регулювали життя Церкви, окрема капітула, консисторія та церковний суд, декани та парафіяльні управи, а також духовні семінарії та церковні товариства [3].</w:t>
      </w:r>
    </w:p>
    <w:p w:rsidR="00610300" w:rsidRPr="00E55DBD" w:rsidRDefault="00610300" w:rsidP="00E55DBD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>Перемиська єпархія вважається найстарішою. Християнство у Перемиську землю прийшло із Великоморавської держави. Учні Кирила і Мефодія поширили християнство на Перемиську землю ще в ХІ столітті і це було християнство східного обряду. Першим перемиським єпископом, про якого знаємо з писаних джерел, був Антоній Добриня Ядеркович, що згодом став владикою у Новгороді. Цікавим є період з 1596 року, адже саме з церковної унії у Бересті бере свій початок українська греко-католицька церква. Унійними (греко-католицькими) стали Київська, Полоцька архиєпархії та Пінська, Луцька, Володимирська й Холмська єпархії. Унію не прийняли Львівська та Перемиська єпархії. Єпископ Михайло Копистинський опозиційно відносився до Берестейської унії, тому протягом всього Х</w:t>
      </w:r>
      <w:r w:rsidRPr="00E55DBD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>ІІ століття Перемишль став ареною релігійної боротьби. Після смерті єпископа М. Копистинського, в 1610 році, в Перемишлі упродовж всього Х</w:t>
      </w:r>
      <w:r w:rsidRPr="00E55DBD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 xml:space="preserve">ІІ століття було два єпископи – греко-католицький і православний, які вели постійну боротьбу за перемиський владичий престол </w:t>
      </w:r>
      <w:r w:rsidRPr="00E55DBD">
        <w:rPr>
          <w:rFonts w:ascii="Times New Roman" w:hAnsi="Times New Roman"/>
          <w:color w:val="000000"/>
          <w:sz w:val="28"/>
          <w:szCs w:val="28"/>
        </w:rPr>
        <w:t>[</w:t>
      </w: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>1, с. 89</w:t>
      </w:r>
      <w:r w:rsidRPr="00E55DBD">
        <w:rPr>
          <w:rFonts w:ascii="Times New Roman" w:hAnsi="Times New Roman"/>
          <w:color w:val="000000"/>
          <w:sz w:val="28"/>
          <w:szCs w:val="28"/>
        </w:rPr>
        <w:t>]</w:t>
      </w: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610300" w:rsidRPr="00E55DBD" w:rsidRDefault="00610300" w:rsidP="00E55DBD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>У 1610 р. греко-католицьким єпископом було обрано Анастасія Крупецького (1610-1652), якого висвятив митрополит Іпатій Потій. Єпископським помічником призначено Павла Овлучинського [10, с.10]. Після смерті А. Крупецького у 1652 році єпископом став його помічник Прокопій Хміловський, якого у 1664 році замінив Антоній Терлецький (1664-1669). Проте, останні два роки свого життя А. Терлецький перебував у Дермані, тому перемиським єпископством адміністрував холмський владика Яків Суша (1667-1669).</w:t>
      </w:r>
    </w:p>
    <w:p w:rsidR="00610300" w:rsidRPr="00E55DBD" w:rsidRDefault="00610300" w:rsidP="00E55DBD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>У 1669 р. перемиським греко-католицьким єпископом став Іван Малаховський [1, с. 89]. Протягом 1700-1713 р.р. владикою перемиським був Юрій (монаше ім’я Гавриїл) Винницький. Окрім, того Гавриїл став адміністратором мукачівським і греко-католицьким митрополитом Київським і всієї Руси (1708-1713 рр). Це був єдиний випадок, коли митрополит всієї Руси-України перебував у Перемишлі. Митрополит Ю. Винницький домігся від Апостольської Столиці підписання декрету, який забороняв греко-католикам переходити на латинський обряд. Окрім того, Ю. Винницький видав 40000 злотих польських на будову духовної семінарії в Перемишлі. Але раптова смерть митрополита завадила втілити цей проект в життя[4, с</w:t>
      </w:r>
      <w:r w:rsidRPr="00DD1638">
        <w:rPr>
          <w:rFonts w:ascii="Times New Roman" w:hAnsi="Times New Roman"/>
          <w:color w:val="000000"/>
          <w:sz w:val="28"/>
          <w:szCs w:val="28"/>
        </w:rPr>
        <w:t>.</w:t>
      </w: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 xml:space="preserve"> 182]. </w:t>
      </w:r>
    </w:p>
    <w:p w:rsidR="00610300" w:rsidRPr="00E55DBD" w:rsidRDefault="00610300" w:rsidP="00E55DBD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 xml:space="preserve">У 1713 р. єпископом перемишльським став Лев Кішка, якого згодом було обрано митрополитом. Саме з його ініціативи у 1720 р. було організовано Замойський синод, який розвязав багато проблемних питань адміністративно-територіальної структури церкви.В період адміністрування Анатазія Шептицького (1762-1779 рр.) Перемиська єпархія нараховувала 1235 парафіяльних церков та 9 чоловічих і 3 жіночих монастирів. Слід зазначити, що владики не мали своєї резиденції в Перемишлі, тому протягом </w:t>
      </w:r>
      <w:r w:rsidRPr="00E55DBD">
        <w:rPr>
          <w:rFonts w:ascii="Times New Roman" w:hAnsi="Times New Roman"/>
          <w:color w:val="000000"/>
          <w:sz w:val="28"/>
          <w:szCs w:val="28"/>
          <w:lang w:val="en-US"/>
        </w:rPr>
        <w:t>XVIII</w:t>
      </w: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>століття перебували у Валяві, де і відбувалися єпархіальні синоди[4,</w:t>
      </w:r>
      <w:bookmarkStart w:id="0" w:name="_GoBack"/>
      <w:bookmarkEnd w:id="0"/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>с.183]. В час  владицтва Максиміліана Рилло (1776-1793 рр.) від Перемишлької єпархії було відлучено деканати: Стрийський, Скольський і Городецький, які приєднано до Львівської єпархії. В свою чергу до Перемиської єпархії було приєднано Горожанський, Жовківський, Куликівський деканати Львівської єпархії, а також Белзький, Варяжкий, Сокальський, Потелицький і Угнівський деканати холмської єпархії. Такий поділ був результатом нової політичної ситуації внаслідок розподілу Польщі 1772-1795 рр. [5, с. 38-39]</w:t>
      </w:r>
    </w:p>
    <w:p w:rsidR="00610300" w:rsidRPr="00E55DBD" w:rsidRDefault="00610300" w:rsidP="00E55DBD">
      <w:pPr>
        <w:spacing w:line="36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 xml:space="preserve">24 лютого 1807 р. Папа Пій </w:t>
      </w:r>
      <w:r w:rsidRPr="00E55DBD">
        <w:rPr>
          <w:rFonts w:ascii="Times New Roman" w:hAnsi="Times New Roman"/>
          <w:color w:val="000000"/>
          <w:sz w:val="28"/>
          <w:szCs w:val="28"/>
          <w:lang w:val="en-US"/>
        </w:rPr>
        <w:t>VII</w:t>
      </w: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видав буллу «У Вселенській Церкві» згідно з якою було відновлено історичну Галицьку митрополію та надано їй канонічного статусу окремої церковної провінції. До складу Галицької митрополії було включено три канонічні адміністративно-територіальні одиниці:- Львівсько-Галицько-Кам’янецьку архиєпархію;- Перемишильсько-Сяніцько-Самбірську єпархію;- Холмсько-Белзьку єпархію [5, с. 40].</w:t>
      </w:r>
    </w:p>
    <w:p w:rsidR="00610300" w:rsidRPr="00E55DBD" w:rsidRDefault="00610300" w:rsidP="00E55DBD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>20 серпня 1815 р. митрополит Михайло Левицький домігся від цісаря Франца Йосифа І відновлення Перемиської катедральної капітули, яка занепала ще в період боротьби між греко-католицькими і православними єпископами у Х</w:t>
      </w:r>
      <w:r w:rsidRPr="00E55DBD">
        <w:rPr>
          <w:rFonts w:ascii="Times New Roman" w:hAnsi="Times New Roman"/>
          <w:color w:val="000000"/>
          <w:sz w:val="28"/>
          <w:szCs w:val="28"/>
          <w:lang w:val="en-US"/>
        </w:rPr>
        <w:t>VII</w:t>
      </w: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 xml:space="preserve"> ст. Початок ХІХ століття – найсвітліший період в історії Перемишльської єпархії. Греко-католицька Церква стала головним носієм духовного та національного відродження українського народу у Галичині. Проте, негативно позначилися на організаційній структурі ГКЦ воєнні дії 1809-1815 рр., коли ціла Холмська і частина Перемишльської єпархії потрапила до складу Варшавського князівства </w:t>
      </w:r>
      <w:r w:rsidRPr="00E55DBD">
        <w:rPr>
          <w:rFonts w:ascii="Times New Roman" w:hAnsi="Times New Roman"/>
          <w:color w:val="000000"/>
          <w:sz w:val="28"/>
          <w:szCs w:val="28"/>
        </w:rPr>
        <w:t>[</w:t>
      </w: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>5, с.39</w:t>
      </w:r>
      <w:r w:rsidRPr="00E55DBD">
        <w:rPr>
          <w:rFonts w:ascii="Times New Roman" w:hAnsi="Times New Roman"/>
          <w:color w:val="000000"/>
          <w:sz w:val="28"/>
          <w:szCs w:val="28"/>
        </w:rPr>
        <w:t>]</w:t>
      </w: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>. Наприкінці ХІХ столітті вона налічувала 39 деканатів з 707 парафіями, а в 1184 церквах працювало 784 священиків. [6, с. 80].</w:t>
      </w:r>
    </w:p>
    <w:p w:rsidR="00610300" w:rsidRPr="00E55DBD" w:rsidRDefault="00610300" w:rsidP="00E55DBD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>У новий період своєї історії греко-католицька єпархія в Перемишлі перебувала у скрутному становищі. Перша світова війна негативно відбилася як на матеріальному становищі Церкви так і на становищі віруючих та духовенства. 25 квітня 1915 р. помер єпископ Констянтин Чехович і понад півтора року єпархія залишалася без ординарія [7, с.5-9]. Наступнім єпископом став Йосафат Коциловський.</w:t>
      </w:r>
    </w:p>
    <w:p w:rsidR="00610300" w:rsidRPr="00E55DBD" w:rsidRDefault="00610300" w:rsidP="00E55DBD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 xml:space="preserve">До середини 30-их рр. ХХ століття Перемишльська єпархія зберегла майже незмінну структуру, яка існувала в XIX столітті. Вона успадкувала традиційну назву «Злучення єпархій Перемиської, Самбірської і Сяніцької». За територіальним принципом вона займала західну частину Галичини і межувала з корінним польським населенням Другої Речі Посполитої. Загальна площа Перемишльської єпархії становила 40 тис. км. кв. На сході вона межувала з Турчанським, Дрогобицьким і Рудецьким повітами та займала невелику територію південно-західного регіону Львівського повіту. На північному сході «Злучення єпархій Перемиської, Самбірської і Сяніцької» межувало з Жовківським та Сокальським повітами. На півночі територія єпархії доходила до лінії колишнього кордону між Австро-Угорською монархією та Росією. На півдні межі єпархії співпадали з державним кордоном. До Перемишльської єпархії належала також парохія у м. Кракові, яка знаходилася поза її межами </w:t>
      </w:r>
      <w:r w:rsidRPr="00E55DBD">
        <w:rPr>
          <w:rFonts w:ascii="Times New Roman" w:hAnsi="Times New Roman"/>
          <w:color w:val="000000"/>
          <w:sz w:val="28"/>
          <w:szCs w:val="28"/>
        </w:rPr>
        <w:t>[</w:t>
      </w: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 w:rsidRPr="00E55DBD">
        <w:rPr>
          <w:rFonts w:ascii="Times New Roman" w:hAnsi="Times New Roman"/>
          <w:color w:val="000000"/>
          <w:sz w:val="28"/>
          <w:szCs w:val="28"/>
        </w:rPr>
        <w:t>]</w:t>
      </w: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610300" w:rsidRPr="00E55DBD" w:rsidRDefault="00610300" w:rsidP="00E55DBD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Протягом 1925-1928 рр. Перемишльська єпархія налічувала 54 деканати, 688 парохій та 1284 церкви, в яких правили 832 священники. [8].  В цей час єпископом перемишльським був Йосафат Коциловський. Суттєві зміни в адміністративно-територіальній структурі Галицької митрополії ГКЦ настали у 1934 р. Тоді через посилення «старорусинської агітації», спрямованої проти «українізаційних» заходів єпископа Й. Коциловського, значна частина греко-католицького духовенства просила Апостольського нунція у Варшаві посприяти у створенні окремої єпархії. Конгрегація для Східних Церков 10 лютого 1934 р. опублікувала декрет, згідно з яким  з-під канонічної юрисдикції Перемишльської єпархії Галицької митрополії ГКЦ було вилучено 9 деканатів (Буківський, Дуклянський, Дунівський, Горлицький, Грибівський, Короснянський, Мушинський, Риманівський, Сяніцький), які обєднували 111 парафій та 11 незалежних вікаріатів [10]. Причиною цього рішення був також опір наверненню лемків у православ’я, але прийняте воно було без попереднього обговорення з митрополитом А. Шептицьким. Ця канонічна територія вийшла з-під юрисдикції перемиського єпископа Й. Коциловського та митрополита Галицького А. Шептицького. Таким чином, було створено Апостольську адміністрацію Лемківщини, яка підпорядковувалася безпосередньо Римському Апостольському Престолові, а у складі Перемишльської єпархії залишилося 45 деканатів[9, с. 136-142]. Апостольська адміністрація Лемківщини проіснувала до 1947 р., коли внаслідок акції «Вісла» було суттєво змінено етнічний склад населення регіону, а ліквідація ГКЦ комуністичним режимом стала доконаним фактом [2, с. 20]. </w:t>
      </w:r>
    </w:p>
    <w:p w:rsidR="00610300" w:rsidRPr="00E55DBD" w:rsidRDefault="00610300" w:rsidP="00E55DBD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 xml:space="preserve">Територіальна організація єпархії була двоступеневою, тобто розділеною на деканати, а ті у свою чергу на парафії. Такий розподіл забезпечував стабільність єпархії. Незадовго до війни Перемишльська греко-католицька єпархія об’єднувала 40 деканатів, а наприкінці війни (1918 р.) – 41 деканат. Зміни в адміністративно-територіальнийустрій єпархії були внесені єпископом Й. Коциловським у 1920 р., а саме кількість деканатів була збільшена до 54. Таким чином, було скорочено кількість парафій, а це у свою чергу сприяло вдосконаленню організації пастирської роботи та співпраці деканатів. [8]. </w:t>
      </w:r>
    </w:p>
    <w:p w:rsidR="00610300" w:rsidRDefault="00610300" w:rsidP="00C953E4">
      <w:pPr>
        <w:spacing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55DBD">
        <w:rPr>
          <w:rFonts w:ascii="Times New Roman" w:hAnsi="Times New Roman"/>
          <w:color w:val="000000"/>
          <w:sz w:val="28"/>
          <w:szCs w:val="28"/>
          <w:lang w:val="uk-UA"/>
        </w:rPr>
        <w:t xml:space="preserve">Після Другої світової війни </w:t>
      </w:r>
      <w:r w:rsidRPr="00E55D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Перемишльська єпархія, хоч і залишилась поза межами УРСР, також зазнала терору. </w:t>
      </w:r>
      <w:r w:rsidRPr="00E55D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 вересня 1945 року єпископ Йосафат Коциловський був заарештований, але згодом його звільнили. Однак повторно арештували 26 червня 1946 року і переправили під Київ, де він і помер у концтаборі в с. Чапаївці 17 листопада 1947 року. Також було ув’язнено єпископа-помічника Григорія Лакоту, а після операції «Вісла» єпархію було фактично ліквідовано</w:t>
      </w:r>
      <w:r w:rsidRPr="00E55D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610300" w:rsidRDefault="00610300" w:rsidP="00C953E4">
      <w:pPr>
        <w:spacing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610300" w:rsidRPr="00E55DBD" w:rsidRDefault="00610300" w:rsidP="00E31546">
      <w:pPr>
        <w:spacing w:line="360" w:lineRule="auto"/>
        <w:contextualSpacing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</w:t>
      </w:r>
    </w:p>
    <w:p w:rsidR="00610300" w:rsidRDefault="00610300" w:rsidP="007B3F41">
      <w:pPr>
        <w:spacing w:before="100" w:beforeAutospacing="1" w:line="360" w:lineRule="auto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C953E4">
        <w:rPr>
          <w:rFonts w:ascii="Times New Roman" w:hAnsi="Times New Roman"/>
          <w:iCs/>
          <w:color w:val="000000"/>
          <w:sz w:val="28"/>
          <w:szCs w:val="28"/>
          <w:lang w:val="uk-UA"/>
        </w:rPr>
        <w:t>1. Білий Б. Нарис історії Перемиського єпископств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а східного обряду / Б. Білий // </w:t>
      </w:r>
      <w:r w:rsidRPr="00C953E4">
        <w:rPr>
          <w:rFonts w:ascii="Times New Roman" w:hAnsi="Times New Roman"/>
          <w:iCs/>
          <w:color w:val="000000"/>
          <w:sz w:val="28"/>
          <w:szCs w:val="28"/>
          <w:lang w:val="uk-UA"/>
        </w:rPr>
        <w:t>Перемиські архієпархіальні відомості.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Річник</w:t>
      </w:r>
      <w:r w:rsidRPr="007B3F41">
        <w:rPr>
          <w:rFonts w:ascii="Times New Roman" w:hAnsi="Times New Roman"/>
          <w:iCs/>
          <w:color w:val="000000"/>
          <w:sz w:val="28"/>
          <w:szCs w:val="28"/>
          <w:lang w:val="en-US"/>
        </w:rPr>
        <w:t>IV</w:t>
      </w:r>
      <w:r w:rsidRPr="007B3F4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. Ч. 4. </w:t>
      </w:r>
      <w:r w:rsidRPr="00C953E4">
        <w:rPr>
          <w:rFonts w:ascii="Times New Roman" w:hAnsi="Times New Roman"/>
          <w:iCs/>
          <w:color w:val="000000"/>
          <w:sz w:val="28"/>
          <w:szCs w:val="28"/>
          <w:lang w:val="uk-UA"/>
        </w:rPr>
        <w:t>– Перемишль, 2006. – С.89</w:t>
      </w:r>
      <w:r w:rsidRPr="00E55DBD">
        <w:rPr>
          <w:rFonts w:ascii="Times New Roman" w:hAnsi="Times New Roman"/>
          <w:iCs/>
          <w:color w:val="000000"/>
          <w:sz w:val="28"/>
          <w:szCs w:val="28"/>
          <w:lang w:val="uk-UA"/>
        </w:rPr>
        <w:t>–</w:t>
      </w:r>
      <w:r w:rsidRPr="00C953E4">
        <w:rPr>
          <w:rFonts w:ascii="Times New Roman" w:hAnsi="Times New Roman"/>
          <w:iCs/>
          <w:color w:val="000000"/>
          <w:sz w:val="28"/>
          <w:szCs w:val="28"/>
          <w:lang w:val="uk-UA"/>
        </w:rPr>
        <w:t>90.</w:t>
      </w:r>
    </w:p>
    <w:p w:rsidR="00610300" w:rsidRPr="00E55DBD" w:rsidRDefault="00610300" w:rsidP="00E55DBD">
      <w:pPr>
        <w:spacing w:line="360" w:lineRule="auto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iCs/>
          <w:color w:val="000000"/>
          <w:sz w:val="28"/>
          <w:szCs w:val="28"/>
          <w:lang w:val="uk-UA"/>
        </w:rPr>
        <w:t>2. Блажейовський Д. Історичний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шематизм Перемиської єпархії з </w:t>
      </w:r>
      <w:r w:rsidRPr="00E55DBD">
        <w:rPr>
          <w:rFonts w:ascii="Times New Roman" w:hAnsi="Times New Roman"/>
          <w:iCs/>
          <w:color w:val="000000"/>
          <w:sz w:val="28"/>
          <w:szCs w:val="28"/>
          <w:lang w:val="uk-UA"/>
        </w:rPr>
        <w:t>включенням Апостольської Адмініст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ратури Лемківщини (1828–1939) / Д. </w:t>
      </w:r>
      <w:r w:rsidRPr="00E55DBD">
        <w:rPr>
          <w:rFonts w:ascii="Times New Roman" w:hAnsi="Times New Roman"/>
          <w:iCs/>
          <w:color w:val="000000"/>
          <w:sz w:val="28"/>
          <w:szCs w:val="28"/>
          <w:lang w:val="uk-UA"/>
        </w:rPr>
        <w:t>Блажейовський. – Львів : Каменяр, 1995. – 1008 с. – Текст: англ.</w:t>
      </w:r>
    </w:p>
    <w:p w:rsidR="00610300" w:rsidRPr="00E55DBD" w:rsidRDefault="00610300" w:rsidP="00E55DBD">
      <w:pPr>
        <w:spacing w:line="360" w:lineRule="auto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3.</w:t>
      </w:r>
      <w:r w:rsidRPr="00E55DBD">
        <w:rPr>
          <w:rFonts w:ascii="Times New Roman" w:hAnsi="Times New Roman"/>
          <w:iCs/>
          <w:color w:val="000000"/>
          <w:sz w:val="28"/>
          <w:szCs w:val="28"/>
          <w:lang w:val="uk-UA"/>
        </w:rPr>
        <w:t>Дністрянський М. Адміністративно-територіальна орган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ізація греко-католицької церкви</w:t>
      </w:r>
      <w:r w:rsidRPr="00E55DBD">
        <w:rPr>
          <w:rFonts w:ascii="Times New Roman" w:hAnsi="Times New Roman"/>
          <w:iCs/>
          <w:color w:val="000000"/>
          <w:sz w:val="28"/>
          <w:szCs w:val="28"/>
          <w:lang w:val="uk-UA"/>
        </w:rPr>
        <w:t>: історична рет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роспектива і сучасні проблеми / </w:t>
      </w:r>
      <w:r w:rsidRPr="00E55DBD">
        <w:rPr>
          <w:rFonts w:ascii="Times New Roman" w:hAnsi="Times New Roman"/>
          <w:iCs/>
          <w:color w:val="000000"/>
          <w:sz w:val="28"/>
          <w:szCs w:val="28"/>
          <w:lang w:val="uk-UA"/>
        </w:rPr>
        <w:t>Дністрянський М., Ковальчук А. // Історія релігій в Україні : тези повідомлень VI Міжнар. «круглого столу», (Львів, 3–8 трав. 1995 р.). – Львів, 1996. – С.82.</w:t>
      </w:r>
    </w:p>
    <w:p w:rsidR="00610300" w:rsidRPr="00E55DBD" w:rsidRDefault="00610300" w:rsidP="00E55DBD">
      <w:pPr>
        <w:spacing w:line="360" w:lineRule="auto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iCs/>
          <w:color w:val="000000"/>
          <w:sz w:val="28"/>
          <w:szCs w:val="28"/>
          <w:lang w:val="uk-UA"/>
        </w:rPr>
        <w:t>4. Мудрий С. Нарис історії церкви в Україні. Друге видання. – Рим. 1990.– 296 с.</w:t>
      </w:r>
    </w:p>
    <w:p w:rsidR="00610300" w:rsidRPr="00E55DBD" w:rsidRDefault="00610300" w:rsidP="00E55DBD">
      <w:pPr>
        <w:spacing w:line="360" w:lineRule="auto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iCs/>
          <w:color w:val="000000"/>
          <w:sz w:val="28"/>
          <w:szCs w:val="28"/>
          <w:lang w:val="uk-UA"/>
        </w:rPr>
        <w:t>5. Пилипів І. Розвиток адміністративно-територіальної структури Галицької греко-католицької митрополії (1918-1939 рр.) / І. Пилипів // Вісник Прикарпатського університету. – 2010. – Вип. – С. 37–44. – (Серія: Історія).</w:t>
      </w:r>
    </w:p>
    <w:p w:rsidR="00610300" w:rsidRPr="00E55DBD" w:rsidRDefault="00610300" w:rsidP="00E55DBD">
      <w:pPr>
        <w:spacing w:line="360" w:lineRule="auto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iCs/>
          <w:color w:val="000000"/>
          <w:sz w:val="28"/>
          <w:szCs w:val="28"/>
          <w:lang w:val="uk-UA"/>
        </w:rPr>
        <w:t>6. Федорів Юрій, о. Організаційна структура Української Церкви / о. Юрій Федорів. – Торонто : Наук. т-во ім. Шевченка в Канаді, 1990. – 212 с.</w:t>
      </w:r>
    </w:p>
    <w:p w:rsidR="00610300" w:rsidRPr="00E55DBD" w:rsidRDefault="00610300" w:rsidP="00E55DBD">
      <w:pPr>
        <w:spacing w:line="360" w:lineRule="auto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iCs/>
          <w:color w:val="000000"/>
          <w:sz w:val="28"/>
          <w:szCs w:val="28"/>
          <w:lang w:val="uk-UA"/>
        </w:rPr>
        <w:t>7. Шематизм греко-католицького духовенства злучених єпархій Перемиської, Самбірської, Сяніцької на рік Божий 1924. – Перемишль : Відбито в печатні греко-катол. Капітули, 1923. – 117 с.</w:t>
      </w:r>
    </w:p>
    <w:p w:rsidR="00610300" w:rsidRPr="00E55DBD" w:rsidRDefault="00610300" w:rsidP="00E55DBD">
      <w:pPr>
        <w:spacing w:line="360" w:lineRule="auto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iCs/>
          <w:color w:val="000000"/>
          <w:sz w:val="28"/>
          <w:szCs w:val="28"/>
          <w:lang w:val="uk-UA"/>
        </w:rPr>
        <w:t>8. Шематизм греко-католицького духовенства злучених єпархій Перемиської, Самбірської, Сяніцької на рік Божий 1928. – Перемишль : Відбито в печатні греко-катол. Капітули, 1928. – 420 с.</w:t>
      </w:r>
    </w:p>
    <w:p w:rsidR="00610300" w:rsidRPr="00E55DBD" w:rsidRDefault="00610300" w:rsidP="00E55DBD">
      <w:pPr>
        <w:spacing w:line="360" w:lineRule="auto"/>
        <w:contextualSpacing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9.</w:t>
      </w:r>
      <w:r w:rsidRPr="00E55DBD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Шематизм греко-католицького духовенстава злучених єпархій Перемиської, Самбірської, Сяніцької на рік Бо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жий 1937. – Перемишль </w:t>
      </w:r>
      <w:r w:rsidRPr="00E55DBD">
        <w:rPr>
          <w:rFonts w:ascii="Times New Roman" w:hAnsi="Times New Roman"/>
          <w:iCs/>
          <w:color w:val="000000"/>
          <w:sz w:val="28"/>
          <w:szCs w:val="28"/>
          <w:lang w:val="uk-UA"/>
        </w:rPr>
        <w:t>: Накладом греко-катол. Капітули, 1937. – 164 с.</w:t>
      </w:r>
    </w:p>
    <w:p w:rsidR="00610300" w:rsidRPr="00E55DBD" w:rsidRDefault="00610300" w:rsidP="00E55DBD">
      <w:pPr>
        <w:spacing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iCs/>
          <w:color w:val="000000"/>
          <w:sz w:val="28"/>
          <w:szCs w:val="28"/>
          <w:lang w:val="uk-UA"/>
        </w:rPr>
        <w:t>10. Шематизм греко-католицького духовенства Апостольської Адміністрації Лемковщини. – Львів : Накладом Ап. Адміністрації Лемковщини, 1936. – 178 с.</w:t>
      </w:r>
    </w:p>
    <w:p w:rsidR="00610300" w:rsidRDefault="00610300" w:rsidP="00E31546">
      <w:pPr>
        <w:spacing w:line="360" w:lineRule="auto"/>
        <w:contextualSpacing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55DBD">
        <w:rPr>
          <w:rFonts w:ascii="Times New Roman" w:hAnsi="Times New Roman"/>
          <w:b/>
          <w:color w:val="000000"/>
          <w:sz w:val="28"/>
          <w:szCs w:val="28"/>
          <w:lang w:val="uk-UA"/>
        </w:rPr>
        <w:t>Науковий керівник:</w:t>
      </w:r>
    </w:p>
    <w:p w:rsidR="00610300" w:rsidRPr="004B50E9" w:rsidRDefault="00610300" w:rsidP="00E31546">
      <w:pPr>
        <w:spacing w:line="360" w:lineRule="auto"/>
        <w:contextualSpacing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B50E9">
        <w:rPr>
          <w:rFonts w:ascii="Times New Roman" w:hAnsi="Times New Roman"/>
          <w:color w:val="000000"/>
          <w:sz w:val="28"/>
          <w:szCs w:val="28"/>
          <w:lang w:val="uk-UA"/>
        </w:rPr>
        <w:t>доктор історичних наук, професор Пилипів Ігор Васильович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610300" w:rsidRPr="00E55DBD" w:rsidRDefault="00610300" w:rsidP="00C953E4">
      <w:pPr>
        <w:spacing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10300" w:rsidRPr="00E55DBD" w:rsidRDefault="00610300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610300" w:rsidRPr="00E55DBD" w:rsidSect="00C953E4">
      <w:headerReference w:type="default" r:id="rId7"/>
      <w:pgSz w:w="12240" w:h="15840"/>
      <w:pgMar w:top="1134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300" w:rsidRDefault="00610300">
      <w:pPr>
        <w:spacing w:after="0" w:line="240" w:lineRule="auto"/>
      </w:pPr>
      <w:r>
        <w:separator/>
      </w:r>
    </w:p>
  </w:endnote>
  <w:endnote w:type="continuationSeparator" w:id="1">
    <w:p w:rsidR="00610300" w:rsidRDefault="00610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300" w:rsidRDefault="00610300">
      <w:pPr>
        <w:spacing w:after="0" w:line="240" w:lineRule="auto"/>
      </w:pPr>
      <w:r>
        <w:separator/>
      </w:r>
    </w:p>
  </w:footnote>
  <w:footnote w:type="continuationSeparator" w:id="1">
    <w:p w:rsidR="00610300" w:rsidRDefault="00610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300" w:rsidRDefault="00610300">
    <w:pPr>
      <w:pStyle w:val="Header"/>
      <w:jc w:val="right"/>
    </w:pPr>
    <w:fldSimple w:instr=" PAGE   \* MERGEFORMAT ">
      <w:r>
        <w:rPr>
          <w:noProof/>
        </w:rPr>
        <w:t>1</w:t>
      </w:r>
    </w:fldSimple>
  </w:p>
  <w:p w:rsidR="00610300" w:rsidRDefault="006103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6D06"/>
    <w:multiLevelType w:val="hybridMultilevel"/>
    <w:tmpl w:val="E76CB4C6"/>
    <w:lvl w:ilvl="0" w:tplc="040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DE2417"/>
    <w:multiLevelType w:val="hybridMultilevel"/>
    <w:tmpl w:val="6D8AB0A8"/>
    <w:lvl w:ilvl="0" w:tplc="345E4A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4444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70FA4"/>
    <w:multiLevelType w:val="hybridMultilevel"/>
    <w:tmpl w:val="1B445882"/>
    <w:lvl w:ilvl="0" w:tplc="3E78F0A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207E61"/>
    <w:multiLevelType w:val="multilevel"/>
    <w:tmpl w:val="6414B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653238"/>
    <w:multiLevelType w:val="hybridMultilevel"/>
    <w:tmpl w:val="E24287CC"/>
    <w:lvl w:ilvl="0" w:tplc="FF38D5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E9D1A43"/>
    <w:multiLevelType w:val="hybridMultilevel"/>
    <w:tmpl w:val="853235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1213"/>
    <w:rsid w:val="00002204"/>
    <w:rsid w:val="00033563"/>
    <w:rsid w:val="000343E7"/>
    <w:rsid w:val="000D5D32"/>
    <w:rsid w:val="000F15F5"/>
    <w:rsid w:val="00173595"/>
    <w:rsid w:val="00191103"/>
    <w:rsid w:val="001C1676"/>
    <w:rsid w:val="001E7622"/>
    <w:rsid w:val="002062E5"/>
    <w:rsid w:val="002407C3"/>
    <w:rsid w:val="00244720"/>
    <w:rsid w:val="002A5073"/>
    <w:rsid w:val="002E343C"/>
    <w:rsid w:val="002F014F"/>
    <w:rsid w:val="0035582A"/>
    <w:rsid w:val="003702D4"/>
    <w:rsid w:val="00401213"/>
    <w:rsid w:val="004649AD"/>
    <w:rsid w:val="004A2419"/>
    <w:rsid w:val="004B50E9"/>
    <w:rsid w:val="004E21F0"/>
    <w:rsid w:val="005065FA"/>
    <w:rsid w:val="0053325E"/>
    <w:rsid w:val="00565001"/>
    <w:rsid w:val="005847F6"/>
    <w:rsid w:val="005C50C9"/>
    <w:rsid w:val="005D1DA0"/>
    <w:rsid w:val="00602A25"/>
    <w:rsid w:val="00610300"/>
    <w:rsid w:val="0064062F"/>
    <w:rsid w:val="00691E5D"/>
    <w:rsid w:val="00692C73"/>
    <w:rsid w:val="006B4635"/>
    <w:rsid w:val="0073763D"/>
    <w:rsid w:val="00774157"/>
    <w:rsid w:val="007B3F41"/>
    <w:rsid w:val="00816595"/>
    <w:rsid w:val="00824766"/>
    <w:rsid w:val="009014B5"/>
    <w:rsid w:val="00AB28A8"/>
    <w:rsid w:val="00C365AB"/>
    <w:rsid w:val="00C5124C"/>
    <w:rsid w:val="00C953E4"/>
    <w:rsid w:val="00CC7C79"/>
    <w:rsid w:val="00D41E4A"/>
    <w:rsid w:val="00D51854"/>
    <w:rsid w:val="00DD1638"/>
    <w:rsid w:val="00E270D3"/>
    <w:rsid w:val="00E31546"/>
    <w:rsid w:val="00E4249A"/>
    <w:rsid w:val="00E55DBD"/>
    <w:rsid w:val="00E83E09"/>
    <w:rsid w:val="00EF486E"/>
    <w:rsid w:val="00F00617"/>
    <w:rsid w:val="00F01A3A"/>
    <w:rsid w:val="00F43E33"/>
    <w:rsid w:val="00F568F8"/>
    <w:rsid w:val="00FB42E2"/>
    <w:rsid w:val="00FB60B8"/>
    <w:rsid w:val="00FD7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213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1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01213"/>
    <w:rPr>
      <w:rFonts w:cs="Times New Roman"/>
      <w:lang w:val="ru-RU"/>
    </w:rPr>
  </w:style>
  <w:style w:type="character" w:styleId="Hyperlink">
    <w:name w:val="Hyperlink"/>
    <w:basedOn w:val="DefaultParagraphFont"/>
    <w:uiPriority w:val="99"/>
    <w:semiHidden/>
    <w:rsid w:val="001C1676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73763D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3763D"/>
    <w:rPr>
      <w:rFonts w:ascii="Calibri" w:hAnsi="Calibri" w:cs="Times New Roman"/>
      <w:sz w:val="20"/>
      <w:szCs w:val="20"/>
      <w:lang w:val="ru-RU"/>
    </w:rPr>
  </w:style>
  <w:style w:type="paragraph" w:customStyle="1" w:styleId="a">
    <w:name w:val="текст сноски"/>
    <w:basedOn w:val="Normal"/>
    <w:uiPriority w:val="99"/>
    <w:rsid w:val="007376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uk-UA"/>
    </w:rPr>
  </w:style>
  <w:style w:type="character" w:customStyle="1" w:styleId="2">
    <w:name w:val="Основной текст (2)_"/>
    <w:link w:val="21"/>
    <w:uiPriority w:val="99"/>
    <w:locked/>
    <w:rsid w:val="0073763D"/>
    <w:rPr>
      <w:b/>
      <w:sz w:val="18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73763D"/>
    <w:pPr>
      <w:widowControl w:val="0"/>
      <w:shd w:val="clear" w:color="auto" w:fill="FFFFFF"/>
      <w:spacing w:before="240" w:after="240" w:line="240" w:lineRule="atLeast"/>
      <w:ind w:hanging="360"/>
      <w:jc w:val="both"/>
    </w:pPr>
    <w:rPr>
      <w:b/>
      <w:bCs/>
      <w:sz w:val="18"/>
      <w:szCs w:val="18"/>
      <w:lang w:val="uk-UA" w:eastAsia="uk-UA"/>
    </w:rPr>
  </w:style>
  <w:style w:type="paragraph" w:styleId="ListParagraph">
    <w:name w:val="List Paragraph"/>
    <w:basedOn w:val="Normal"/>
    <w:uiPriority w:val="99"/>
    <w:qFormat/>
    <w:rsid w:val="00D5185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C95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953E4"/>
    <w:rPr>
      <w:rFonts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241</TotalTime>
  <Pages>7</Pages>
  <Words>7212</Words>
  <Characters>4111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 I Pylypiv</dc:creator>
  <cp:keywords/>
  <dc:description/>
  <cp:lastModifiedBy>Admin</cp:lastModifiedBy>
  <cp:revision>6</cp:revision>
  <dcterms:created xsi:type="dcterms:W3CDTF">2014-04-27T18:11:00Z</dcterms:created>
  <dcterms:modified xsi:type="dcterms:W3CDTF">2014-04-28T10:48:00Z</dcterms:modified>
</cp:coreProperties>
</file>