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22890" w:rsidRPr="009A1178" w:rsidRDefault="00F22890" w:rsidP="008A30DF">
      <w:pPr>
        <w:widowControl/>
        <w:spacing w:after="0" w:line="360" w:lineRule="auto"/>
        <w:jc w:val="right"/>
        <w:rPr>
          <w:rFonts w:ascii="Tinos" w:hAnsi="Tinos" w:cs="Tinos"/>
          <w:b/>
          <w:color w:val="000000"/>
          <w:kern w:val="0"/>
          <w:lang w:val="uk-UA"/>
        </w:rPr>
      </w:pPr>
      <w:r w:rsidRPr="009A1178">
        <w:rPr>
          <w:rFonts w:ascii="Tinos Cyr" w:hAnsi="Tinos Cyr" w:cs="Tinos Cyr"/>
          <w:b/>
          <w:color w:val="000000"/>
          <w:kern w:val="0"/>
          <w:lang w:val="uk-UA"/>
        </w:rPr>
        <w:t xml:space="preserve">Анастасія Шевченко, Юлія Урденко </w:t>
      </w:r>
    </w:p>
    <w:p w:rsidR="00F22890" w:rsidRPr="009A1178" w:rsidRDefault="00F22890" w:rsidP="008A30DF">
      <w:pPr>
        <w:widowControl/>
        <w:spacing w:after="0" w:line="360" w:lineRule="auto"/>
        <w:jc w:val="right"/>
        <w:rPr>
          <w:rFonts w:ascii="Tinos" w:hAnsi="Tinos" w:cs="Tinos"/>
          <w:b/>
          <w:color w:val="000000"/>
          <w:kern w:val="0"/>
          <w:lang w:val="uk-UA"/>
        </w:rPr>
      </w:pPr>
      <w:r w:rsidRPr="009A1178">
        <w:rPr>
          <w:rFonts w:ascii="Tinos Cyr" w:hAnsi="Tinos Cyr" w:cs="Tinos Cyr"/>
          <w:b/>
          <w:color w:val="000000"/>
          <w:kern w:val="0"/>
          <w:lang w:val="uk-UA"/>
        </w:rPr>
        <w:t>(Харків, Україна)</w:t>
      </w:r>
    </w:p>
    <w:p w:rsidR="00F22890" w:rsidRPr="008A30DF" w:rsidRDefault="00F22890" w:rsidP="008A30DF">
      <w:pPr>
        <w:widowControl/>
        <w:spacing w:after="0" w:line="360" w:lineRule="auto"/>
        <w:rPr>
          <w:rFonts w:ascii="Tinos" w:hAnsi="Tinos" w:cs="Tinos"/>
          <w:color w:val="000000"/>
          <w:kern w:val="0"/>
          <w:lang w:val="uk-UA"/>
        </w:rPr>
      </w:pPr>
    </w:p>
    <w:p w:rsidR="00F22890" w:rsidRPr="009A1178" w:rsidRDefault="00F22890" w:rsidP="008A30DF">
      <w:pPr>
        <w:widowControl/>
        <w:spacing w:after="0" w:line="360" w:lineRule="auto"/>
        <w:jc w:val="center"/>
        <w:rPr>
          <w:rFonts w:ascii="Tinos" w:hAnsi="Tinos" w:cs="Tinos"/>
          <w:b/>
          <w:bCs/>
          <w:color w:val="000000"/>
          <w:lang w:val="uk-UA"/>
        </w:rPr>
      </w:pPr>
      <w:r w:rsidRPr="009A1178">
        <w:rPr>
          <w:rFonts w:ascii="Tinos Cyr" w:hAnsi="Tinos Cyr" w:cs="Tinos Cyr"/>
          <w:b/>
          <w:bCs/>
          <w:color w:val="000000"/>
          <w:shd w:val="clear" w:color="auto" w:fill="FFFFFF"/>
          <w:lang w:val="uk-UA"/>
        </w:rPr>
        <w:t>ЗАХИСТ ПРАВ ІНТЕЛЕКТУАЛЬНОЇ ВЛАСНОСТІ НА ТОРГОВЕЛЬНУ МАРКУ</w:t>
      </w:r>
    </w:p>
    <w:p w:rsidR="00F22890" w:rsidRPr="008A30DF" w:rsidRDefault="00F22890" w:rsidP="008A30DF">
      <w:pPr>
        <w:widowControl/>
        <w:spacing w:after="0" w:line="360" w:lineRule="auto"/>
        <w:rPr>
          <w:rFonts w:ascii="Tinos" w:hAnsi="Tinos" w:cs="Tinos"/>
          <w:color w:val="000000"/>
          <w:kern w:val="0"/>
          <w:lang w:val="uk-UA"/>
        </w:rPr>
      </w:pPr>
    </w:p>
    <w:p w:rsidR="00F22890" w:rsidRPr="008A30DF" w:rsidRDefault="00F22890" w:rsidP="008A30DF">
      <w:pPr>
        <w:widowControl/>
        <w:spacing w:after="0" w:line="360" w:lineRule="auto"/>
        <w:ind w:firstLine="700"/>
        <w:rPr>
          <w:rFonts w:ascii="Tinos" w:hAnsi="Tinos" w:cs="Tinos"/>
          <w:color w:val="000000"/>
          <w:kern w:val="0"/>
          <w:lang w:val="uk-UA"/>
        </w:rPr>
      </w:pPr>
      <w:r w:rsidRPr="008A30DF">
        <w:rPr>
          <w:rFonts w:ascii="Tinos Cyr" w:hAnsi="Tinos Cyr" w:cs="Tinos Cyr"/>
          <w:color w:val="000000"/>
          <w:kern w:val="0"/>
          <w:lang w:val="uk-UA"/>
        </w:rPr>
        <w:t xml:space="preserve">Відповідно до ст. 1 Закону України «Про охорону прав на знаки для товарів і послуг» «знак — позначення, за яким товари і послуги одних осіб відрізняються від товарів і послуг інших осіб;» а також відповідно до ст. 5 «п. 2. Об’єктом знака може бути будь-яке позначення або будь-яка комбінація позначень. Такими позначеннями можуть бути, зокрема, слова, у тому числі власні імена, літери, цифри, зображувальні елементи, кольори та комбінації кольорів, а також будь-яка комбінація таких позначень» [1, с.2]. </w:t>
      </w:r>
    </w:p>
    <w:p w:rsidR="00F22890" w:rsidRPr="008A30DF" w:rsidRDefault="00F22890" w:rsidP="008A30DF">
      <w:pPr>
        <w:widowControl/>
        <w:spacing w:after="0" w:line="360" w:lineRule="auto"/>
        <w:ind w:firstLine="700"/>
        <w:rPr>
          <w:rFonts w:ascii="Tinos" w:hAnsi="Tinos" w:cs="Tinos"/>
          <w:color w:val="000000"/>
          <w:kern w:val="0"/>
          <w:highlight w:val="yellow"/>
          <w:lang w:val="uk-UA"/>
        </w:rPr>
      </w:pPr>
      <w:r w:rsidRPr="008A30DF">
        <w:rPr>
          <w:rFonts w:ascii="Tinos Cyr" w:hAnsi="Tinos Cyr" w:cs="Tinos Cyr"/>
          <w:color w:val="000000"/>
          <w:kern w:val="0"/>
          <w:lang w:val="uk-UA"/>
        </w:rPr>
        <w:t xml:space="preserve">Відповідно до ст. 9 Закону України «Про авторське право і суміжні права» «частина твору, яка може використовуватися самостійно, у тому числі й оригінальна назва твору, розглядається як твір і охороняється відповідно до цього Закону» [2, с.18]. 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shd w:val="clear" w:color="auto" w:fill="FFFFFF"/>
          <w:lang w:val="uk-UA"/>
        </w:rPr>
      </w:pPr>
      <w:r w:rsidRPr="008A30DF">
        <w:rPr>
          <w:rFonts w:ascii="Tinos Cyr" w:eastAsia="Times New Roman" w:hAnsi="Tinos Cyr" w:cs="Tinos Cyr"/>
          <w:color w:val="000000"/>
          <w:sz w:val="28"/>
          <w:szCs w:val="28"/>
          <w:shd w:val="clear" w:color="auto" w:fill="FFFFFF"/>
          <w:lang w:val="uk-UA"/>
        </w:rPr>
        <w:t xml:space="preserve">На створення і поширення торгової марки деколи необхідні роки наполегливої праці і величезні вкладення. У свою чергу, для нечесних на руку підприємців завжди існує спокуса уникнути подібних витрат, скориставшись чужими заслугами. Способів таких маніпуляцій багато: зміна кількох літер в назві торгової марки, видозміна дизайну, реєстрація відомої торгової марки для іншого продукту і т.п. 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shd w:val="clear" w:color="auto" w:fill="FFFFFF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Порушенням прав власника зареєстрованої торговельної марки є будь-яке посягання на його права, у тому числі здійснення без згоди власника дій, що вимагають його згоди, а також підготовка до вчинення таких дій. Тому, одним з найактуальніших питань є правове забезпечення захисту цих прав.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shd w:val="clear" w:color="auto" w:fill="FFFFFF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Методи захисту прав на торговельні марки: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Style w:val="Strong"/>
          <w:rFonts w:cs="Tinos"/>
          <w:b w:val="0"/>
          <w:bCs w:val="0"/>
          <w:color w:val="000000"/>
          <w:sz w:val="28"/>
          <w:szCs w:val="28"/>
          <w:shd w:val="clear" w:color="auto" w:fill="FFFFFF"/>
          <w:lang w:val="uk-UA"/>
        </w:rPr>
      </w:pPr>
      <w:r w:rsidRPr="008A30DF">
        <w:rPr>
          <w:rStyle w:val="Strong"/>
          <w:rFonts w:ascii="Tinos Cyr" w:hAnsi="Tinos Cyr" w:cs="Tinos Cyr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ab/>
        <w:t xml:space="preserve">1. Перший етап захисту торговельної марки починається з моменту її «правильної» реєстрації. 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Згідно ч. 1 ст. 494 ЦКУ обсяг правової охорони торговельної марки визначається, зокрема, наведеним у свідоцтві переліком товарів і послуг. Так само, відповідно до вимог ч. 4 ст. 7 ЗУ «Про охорону прав на знаки для товарів і послуг» в заявці на видачу свідоцтва України на знак для товарів і послуг повинен бути зазначений перелік товарів і послуг, для яких заявник просить зареєструвати знак, згрупованих за МКТП (Міжнародною класифікацією товарів і послуг для реєстрації знаків), яку ще називають Ніццькою класифікацією.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shd w:val="clear" w:color="auto" w:fill="FFFFFF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 xml:space="preserve">Це означає, що торговельна марка отримає охорону тільки для тих товарів та послуг, щодо яких вона була зареєстрована відповідно до класів МКТП. При виборі класів товарів та послуг, в яких Ви хочете отримати захист торговельної 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cs="Tinos"/>
          <w:color w:val="000000"/>
          <w:sz w:val="28"/>
          <w:szCs w:val="28"/>
          <w:shd w:val="clear" w:color="auto" w:fill="FFFFFF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марки, потрібно дуже уважно переглянути 45 класів МКТП і вибрати для себе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cs="Tinos"/>
          <w:color w:val="000000"/>
          <w:sz w:val="28"/>
          <w:szCs w:val="28"/>
          <w:shd w:val="clear" w:color="auto" w:fill="FFFFFF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 xml:space="preserve">найоптимальніші. 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Style w:val="Strong"/>
          <w:rFonts w:ascii="Tinos Cyr" w:hAnsi="Tinos Cyr" w:cs="Tinos Cyr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2. Досудовий спосіб захисту торговельної марки.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Володілець торговельної марки має виключне право перешкоджати неправомірному використанню торговельної марки, в тому числі забороняти таке використання.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shd w:val="clear" w:color="auto" w:fill="FFFFFF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 xml:space="preserve">Відповідно до ч. 2 ст. 20 ЗУ «Про охорону прав на знаки для товарів і послуг» на вимогу власника свідоцтва таке порушення повинно бути припинено, а порушник зобов'язаний відшкодувати власнику свідоцтва заподіяні збитки [1, с. 29]. 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Fonts w:cs="Tinos"/>
          <w:color w:val="000000"/>
          <w:sz w:val="28"/>
          <w:szCs w:val="28"/>
          <w:shd w:val="clear" w:color="auto" w:fill="FFFFFF"/>
          <w:lang w:val="uk-UA"/>
        </w:rPr>
        <w:t xml:space="preserve">3. </w:t>
      </w:r>
      <w:r w:rsidRPr="008A30DF">
        <w:rPr>
          <w:rStyle w:val="Strong"/>
          <w:rFonts w:ascii="Tinos Cyr" w:hAnsi="Tinos Cyr" w:cs="Tinos Cyr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Судовий спосіб захисту торговельної марки.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У статті ч. 1 ст. 21 ЗУ «Про охорону прав на знаки для товарів і послуг» зазначено, що захист прав на знак здійснюється у судовому та іншому встановленому законом порядку [1, с. 29]. Підставою судового захисту прав володільця торговельної марки є будь-яке посягання на права власника свідоцтва (ліцензії), в тому числі вчинення без згоди власника свідоцтва дій, що потребують його згоди, та готування до вчинення таких дій.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До основних позовних вимог, які заявляє позивач у подібних судових спорах, належать: припинення дій, що порушують права володільця торговельної марки; усунення з товару, упаковки незаконно використаного знака; визнання недійсними договорів, що стосуються п</w:t>
      </w:r>
      <w:bookmarkStart w:id="0" w:name="_GoBack"/>
      <w:bookmarkEnd w:id="0"/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рав на торговельну марку; відшкодування збитків.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left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Style w:val="Strong"/>
          <w:rFonts w:ascii="Tinos Cyr" w:hAnsi="Tinos Cyr" w:cs="Tinos Cyr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4. Захист торговельної марки у кримінальному провадженні.Відповідальність</w:t>
      </w:r>
      <w:r>
        <w:rPr>
          <w:rStyle w:val="Strong"/>
          <w:rFonts w:ascii="Tinos Cyr" w:hAnsi="Tinos Cyr" w:cs="Tinos Cyr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за незаконне використання знаку</w:t>
      </w:r>
      <w:r w:rsidRPr="008A30DF">
        <w:rPr>
          <w:rStyle w:val="Strong"/>
          <w:rFonts w:ascii="Tinos Cyr" w:hAnsi="Tinos Cyr" w:cs="Tinos Cyr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для товарів іпослуг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передбачена ст. 229 Кримінального кодексу України у вигляді: штрафу; виправних робіт; позбавлення волі; конфіскації і знищення відповідної продукції та знарядь і матеріалів, які спеціально використовувалися для її виготовлення; позбавлення права обіймати певні посади чи займатися певною діяльністю на строк до трьох років. Окремо можна розглядати відшкодування збитків за цивільним позовом в рамках кримінального процесу.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Використання знаку</w:t>
      </w: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 xml:space="preserve"> для товарів і послуг визнається незаконним і утворює склад злочину, тільки якщо таке використання завдало матеріальної шкоди у значному, у великому та особливо великому розмірі суб'єкту підприємницької діяльності. Також обов’язковою кваліфікуючою ознакою злочину є прямий умисел, а саме, зумисне використання чужого товарного знаку з метою отримання прибутку.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Таким чином, некомерційне використання торговельної марки або вчинення таких дій за необережністю не підпадатимуть під ознаки злочину, визначеного ст. 229 ККУ, та визнаються адміністративним проступком (ч. 1 ст. 164-3 КАП).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Style w:val="Strong"/>
          <w:rFonts w:ascii="Tinos Cyr" w:hAnsi="Tinos Cyr" w:cs="Tinos Cyr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5. Адміністративний спосіб захисту торговельної марки.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Адміністративний спосіб захисту торговельної марки в основному включає процедуру звернення до Антимонопольного комітету України із заявою про порушення прав володільця торговельної марки, як акту недобросовісної конкуренції.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Згідно з ст. 23 ЗУ «Про Антимонопольний комітет України» діяльність щодо виявлення, запобігання та припинення порушень законодавства про захист економічної конкуренції, в тому числі законодавства про захист від недобросовісної конкуренції, проводиться Антимонопольним комітетом України, його органами та посадовими особами з додержанням процесуальних засад, визначених законодавчими актами України про захист економічної конкуренції.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shd w:val="clear" w:color="auto" w:fill="FFFFFF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Відповідно до ст. 1 ЗУ «Про захист від недобросовісної конкуренції» недобросовісною конкуренцією є будь-які дії у конкуренції, що суперечать торговим та іншим чесним звичаям у господарській діяльності, зокрема, дії такі як: використання імені, комерційного (фірмового) найменування, торговельної марки та інших знаків без дозволу суб'єкта господарювання.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ind w:firstLine="700"/>
        <w:jc w:val="both"/>
        <w:textAlignment w:val="baseline"/>
        <w:rPr>
          <w:rFonts w:cs="Tinos"/>
          <w:color w:val="000000"/>
          <w:sz w:val="28"/>
          <w:szCs w:val="28"/>
          <w:shd w:val="clear" w:color="auto" w:fill="FFFFFF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shd w:val="clear" w:color="auto" w:fill="FFFFFF"/>
          <w:lang w:val="uk-UA"/>
        </w:rPr>
        <w:t>Таким чином, належна реалізація прав інтелектуальної власності на торговельні марки розглядається світовою спільнотою як невід’ємна умова ефективного розвитку економіки, важливий фактор підвищення рівня конкурентоспроможності продукції, захисту від недобросовісної конкуренції, а усунення недоліків у правовому регулюванні використання торговельних марок у господарському обороті є одним із завдань законопроектної роботи у сфері правової охорони торговельних марок [3, с. 5].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cs="Tinos"/>
          <w:color w:val="000000"/>
          <w:sz w:val="28"/>
          <w:szCs w:val="28"/>
          <w:shd w:val="clear" w:color="auto" w:fill="FFFFFF"/>
          <w:lang w:val="uk-UA"/>
        </w:rPr>
      </w:pP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cs="Tinos"/>
          <w:b/>
          <w:color w:val="000000"/>
          <w:sz w:val="28"/>
          <w:szCs w:val="28"/>
          <w:shd w:val="clear" w:color="auto" w:fill="FFFFFF"/>
          <w:lang w:val="uk-UA"/>
        </w:rPr>
      </w:pPr>
      <w:r w:rsidRPr="008A30DF">
        <w:rPr>
          <w:rFonts w:ascii="Tinos Cyr" w:hAnsi="Tinos Cyr" w:cs="Tinos Cyr"/>
          <w:b/>
          <w:color w:val="000000"/>
          <w:sz w:val="28"/>
          <w:szCs w:val="28"/>
          <w:shd w:val="clear" w:color="auto" w:fill="FFFFFF"/>
          <w:lang w:val="uk-UA"/>
        </w:rPr>
        <w:t>Література:</w:t>
      </w:r>
    </w:p>
    <w:p w:rsidR="00F22890" w:rsidRPr="008A30DF" w:rsidRDefault="00F22890" w:rsidP="008A30DF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cs="Tinos"/>
          <w:color w:val="000000"/>
          <w:sz w:val="28"/>
          <w:szCs w:val="28"/>
          <w:lang w:val="uk-UA"/>
        </w:rPr>
      </w:pPr>
      <w:r w:rsidRPr="008A30DF">
        <w:rPr>
          <w:rFonts w:ascii="Tinos Cyr" w:hAnsi="Tinos Cyr" w:cs="Tinos Cyr"/>
          <w:color w:val="000000"/>
          <w:sz w:val="28"/>
          <w:szCs w:val="28"/>
          <w:lang w:val="uk-UA"/>
        </w:rPr>
        <w:t>1. Закон України «Про охорону прав на знаки для товарів і послуг» [Електрон- ний ресурс]//</w:t>
      </w:r>
      <w:r w:rsidRPr="008A30DF">
        <w:rPr>
          <w:rFonts w:ascii="Tinos Cyr" w:eastAsia="Times New Roman" w:hAnsi="Tinos Cyr" w:cs="Tinos Cyr"/>
          <w:iCs/>
          <w:color w:val="000000"/>
          <w:sz w:val="28"/>
          <w:szCs w:val="28"/>
          <w:shd w:val="clear" w:color="auto" w:fill="FFFFFF"/>
          <w:lang w:val="uk-UA"/>
        </w:rPr>
        <w:t xml:space="preserve">Відомості Верховної Ради України (ВВР). - 1994. -  № 7. - ст. 36. - </w:t>
      </w:r>
      <w:r w:rsidRPr="008A30DF">
        <w:rPr>
          <w:rFonts w:ascii="Tinos Cyr" w:hAnsi="Tinos Cyr" w:cs="Tinos Cyr"/>
          <w:color w:val="000000"/>
          <w:sz w:val="28"/>
          <w:szCs w:val="28"/>
          <w:lang w:val="uk-UA"/>
        </w:rPr>
        <w:t xml:space="preserve">Режим доступу: http://zakon2.rada.gov.ua/laws/show/3689-12. </w:t>
      </w:r>
    </w:p>
    <w:p w:rsidR="00F22890" w:rsidRPr="008A30DF" w:rsidRDefault="00F22890" w:rsidP="008A30DF">
      <w:pPr>
        <w:widowControl/>
        <w:spacing w:after="0" w:line="360" w:lineRule="auto"/>
        <w:rPr>
          <w:rFonts w:ascii="Tinos" w:hAnsi="Tinos" w:cs="Tinos"/>
          <w:color w:val="000000"/>
          <w:kern w:val="0"/>
          <w:lang w:val="uk-UA"/>
        </w:rPr>
      </w:pPr>
      <w:r w:rsidRPr="008A30DF">
        <w:rPr>
          <w:rFonts w:ascii="Tinos Cyr" w:hAnsi="Tinos Cyr" w:cs="Tinos Cyr"/>
          <w:color w:val="000000"/>
          <w:kern w:val="0"/>
          <w:lang w:val="uk-UA"/>
        </w:rPr>
        <w:t xml:space="preserve">2. Закон України «Про авторське право і суміжні права» [Електронний ре- сурс]// Відомості Верховної Ради України (ВВР).— 1994. — № 13. — Ст.64. — Режим доступу : </w:t>
      </w:r>
      <w:hyperlink r:id="rId4" w:history="1">
        <w:r w:rsidRPr="008A30DF">
          <w:rPr>
            <w:rStyle w:val="Hyperlink"/>
            <w:rFonts w:ascii="Tinos" w:hAnsi="Tinos" w:cs="Tinos"/>
            <w:color w:val="000000"/>
            <w:kern w:val="0"/>
            <w:u w:val="none"/>
            <w:lang w:val="uk-UA"/>
          </w:rPr>
          <w:t>http://zakon3.rada.gov.ua/laws/show/3792-12.</w:t>
        </w:r>
      </w:hyperlink>
    </w:p>
    <w:p w:rsidR="00F22890" w:rsidRPr="008A30DF" w:rsidRDefault="00F22890" w:rsidP="008A30DF">
      <w:pPr>
        <w:widowControl/>
        <w:spacing w:after="0" w:line="360" w:lineRule="auto"/>
        <w:rPr>
          <w:rFonts w:ascii="Tinos" w:hAnsi="Tinos" w:cs="Tinos"/>
          <w:color w:val="000000"/>
          <w:kern w:val="0"/>
          <w:lang w:val="uk-UA"/>
        </w:rPr>
      </w:pPr>
      <w:r w:rsidRPr="008A30DF">
        <w:rPr>
          <w:rFonts w:ascii="Tinos Cyr" w:hAnsi="Tinos Cyr" w:cs="Tinos Cyr"/>
          <w:color w:val="000000"/>
          <w:kern w:val="0"/>
          <w:lang w:val="uk-UA"/>
        </w:rPr>
        <w:t>3. Кашинцева О. Правова охорона знаків для товарів і послуг в Україні: автореф. дис... канд. юрид. наук: 12.00.03 // О. Кашинцева. – К., 2000. – 16 с.</w:t>
      </w:r>
    </w:p>
    <w:p w:rsidR="00F22890" w:rsidRPr="008A30DF" w:rsidRDefault="00F22890" w:rsidP="008A30DF">
      <w:pPr>
        <w:widowControl/>
        <w:spacing w:after="0" w:line="360" w:lineRule="auto"/>
        <w:rPr>
          <w:rFonts w:ascii="Tinos" w:hAnsi="Tinos" w:cs="Tinos"/>
          <w:color w:val="000000"/>
          <w:kern w:val="0"/>
          <w:lang w:val="uk-UA"/>
        </w:rPr>
      </w:pPr>
    </w:p>
    <w:p w:rsidR="00F22890" w:rsidRPr="009A1178" w:rsidRDefault="00F22890" w:rsidP="008A30DF">
      <w:pPr>
        <w:widowControl/>
        <w:spacing w:after="0" w:line="360" w:lineRule="auto"/>
        <w:jc w:val="right"/>
        <w:rPr>
          <w:rFonts w:ascii="Tinos" w:hAnsi="Tinos" w:cs="Tinos"/>
          <w:b/>
          <w:color w:val="000000"/>
          <w:kern w:val="0"/>
          <w:lang w:val="uk-UA"/>
        </w:rPr>
      </w:pPr>
      <w:r w:rsidRPr="009A1178">
        <w:rPr>
          <w:rFonts w:ascii="Tinos Cyr" w:hAnsi="Tinos Cyr" w:cs="Tinos Cyr"/>
          <w:b/>
          <w:color w:val="000000"/>
          <w:kern w:val="0"/>
          <w:lang w:val="uk-UA"/>
        </w:rPr>
        <w:t xml:space="preserve">Науковий керівник: </w:t>
      </w:r>
    </w:p>
    <w:p w:rsidR="00F22890" w:rsidRPr="008A30DF" w:rsidRDefault="00F22890" w:rsidP="009A1178">
      <w:pPr>
        <w:widowControl/>
        <w:spacing w:after="0" w:line="360" w:lineRule="auto"/>
        <w:jc w:val="right"/>
        <w:rPr>
          <w:rFonts w:ascii="Tinos" w:hAnsi="Tinos" w:cs="Tinos"/>
          <w:color w:val="000000"/>
          <w:kern w:val="0"/>
          <w:lang w:val="uk-UA"/>
        </w:rPr>
      </w:pPr>
      <w:r w:rsidRPr="008A30DF">
        <w:rPr>
          <w:rFonts w:ascii="Tinos Cyr" w:hAnsi="Tinos Cyr" w:cs="Tinos Cyr"/>
          <w:color w:val="000000"/>
          <w:kern w:val="0"/>
          <w:lang w:val="uk-UA"/>
        </w:rPr>
        <w:t>кандидат</w:t>
      </w:r>
      <w:r>
        <w:rPr>
          <w:rFonts w:ascii="Tinos Cyr" w:hAnsi="Tinos Cyr" w:cs="Tinos Cyr"/>
          <w:color w:val="000000"/>
          <w:kern w:val="0"/>
          <w:lang w:val="uk-UA"/>
        </w:rPr>
        <w:t xml:space="preserve"> </w:t>
      </w:r>
      <w:r w:rsidRPr="008A30DF">
        <w:rPr>
          <w:rFonts w:ascii="Tinos Cyr" w:hAnsi="Tinos Cyr" w:cs="Tinos Cyr"/>
          <w:color w:val="000000"/>
          <w:kern w:val="0"/>
          <w:lang w:val="uk-UA"/>
        </w:rPr>
        <w:t>юридичних наук</w:t>
      </w:r>
      <w:r>
        <w:rPr>
          <w:rFonts w:ascii="Times New Roman" w:hAnsi="Times New Roman" w:cs="Tinos Cyr"/>
          <w:color w:val="000000"/>
          <w:kern w:val="0"/>
          <w:lang w:val="uk-UA"/>
        </w:rPr>
        <w:t>,</w:t>
      </w:r>
      <w:r w:rsidRPr="008A30DF">
        <w:rPr>
          <w:rFonts w:ascii="Tinos Cyr" w:hAnsi="Tinos Cyr" w:cs="Tinos Cyr"/>
          <w:color w:val="000000"/>
          <w:kern w:val="0"/>
          <w:lang w:val="uk-UA"/>
        </w:rPr>
        <w:t xml:space="preserve"> </w:t>
      </w:r>
      <w:r>
        <w:rPr>
          <w:rFonts w:ascii="Tinos Cyr" w:hAnsi="Tinos Cyr" w:cs="Tinos Cyr"/>
          <w:color w:val="000000"/>
          <w:kern w:val="0"/>
          <w:lang w:val="uk-UA"/>
        </w:rPr>
        <w:t xml:space="preserve">доцент, </w:t>
      </w:r>
      <w:r w:rsidRPr="008A30DF">
        <w:rPr>
          <w:rFonts w:ascii="Tinos Cyr" w:hAnsi="Tinos Cyr" w:cs="Tinos Cyr"/>
          <w:color w:val="000000"/>
          <w:kern w:val="0"/>
          <w:lang w:val="uk-UA"/>
        </w:rPr>
        <w:t>Леонтьєва Ліна Віталіївна</w:t>
      </w:r>
      <w:r>
        <w:rPr>
          <w:rFonts w:ascii="Tinos Cyr" w:hAnsi="Tinos Cyr" w:cs="Tinos Cyr"/>
          <w:color w:val="000000"/>
          <w:kern w:val="0"/>
          <w:lang w:val="uk-UA"/>
        </w:rPr>
        <w:t>.</w:t>
      </w:r>
    </w:p>
    <w:p w:rsidR="00F22890" w:rsidRPr="008A30DF" w:rsidRDefault="00F22890" w:rsidP="008A30DF">
      <w:pPr>
        <w:widowControl/>
        <w:spacing w:after="0" w:line="360" w:lineRule="auto"/>
        <w:jc w:val="right"/>
        <w:rPr>
          <w:rFonts w:ascii="Tinos" w:hAnsi="Tinos" w:cs="Tinos"/>
          <w:color w:val="000000"/>
          <w:kern w:val="0"/>
          <w:lang w:val="uk-UA"/>
        </w:rPr>
      </w:pPr>
    </w:p>
    <w:sectPr w:rsidR="00F22890" w:rsidRPr="008A30DF" w:rsidSect="00D43CE1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no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nos Cy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9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FEF7509"/>
    <w:rsid w:val="F4FB490A"/>
    <w:rsid w:val="FFDF2DB2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07E1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30DF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A1178"/>
    <w:rsid w:val="009C600F"/>
    <w:rsid w:val="009D3723"/>
    <w:rsid w:val="009E04F2"/>
    <w:rsid w:val="00A03B7B"/>
    <w:rsid w:val="00A03C18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65107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43CE1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22890"/>
    <w:rsid w:val="00F3513C"/>
    <w:rsid w:val="00F465C5"/>
    <w:rsid w:val="00F5180D"/>
    <w:rsid w:val="00F51B21"/>
    <w:rsid w:val="00F51D87"/>
    <w:rsid w:val="00F8455C"/>
    <w:rsid w:val="38E63017"/>
    <w:rsid w:val="3C7F59E1"/>
    <w:rsid w:val="3D2E204C"/>
    <w:rsid w:val="67FF0398"/>
    <w:rsid w:val="6FEF7509"/>
    <w:rsid w:val="7FFCC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nos" w:eastAsia="SimSun" w:hAnsi="Tinos" w:cs="Tinos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CE1"/>
    <w:pPr>
      <w:widowControl w:val="0"/>
      <w:spacing w:after="160" w:line="259" w:lineRule="auto"/>
      <w:jc w:val="both"/>
    </w:pPr>
    <w:rPr>
      <w:rFonts w:ascii="Calibri" w:hAnsi="Calibri" w:cs="Times New Roman"/>
      <w:kern w:val="2"/>
      <w:sz w:val="28"/>
      <w:szCs w:val="28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3CE1"/>
    <w:pPr>
      <w:widowControl/>
      <w:spacing w:beforeAutospacing="1" w:after="0" w:afterAutospacing="1"/>
      <w:jc w:val="left"/>
      <w:outlineLvl w:val="0"/>
    </w:pPr>
    <w:rPr>
      <w:rFonts w:ascii="SimSun" w:hAnsi="SimSun"/>
      <w:b/>
      <w:bCs/>
      <w:kern w:val="32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0875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styleId="NormalWeb">
    <w:name w:val="Normal (Web)"/>
    <w:basedOn w:val="Normal"/>
    <w:uiPriority w:val="99"/>
    <w:rsid w:val="00D43CE1"/>
    <w:pPr>
      <w:widowControl/>
      <w:spacing w:beforeAutospacing="1" w:after="0" w:afterAutospacing="1"/>
      <w:jc w:val="left"/>
    </w:pPr>
    <w:rPr>
      <w:rFonts w:ascii="Tinos" w:hAnsi="Tinos"/>
      <w:kern w:val="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D43C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0875"/>
    <w:rPr>
      <w:rFonts w:ascii="Courier New" w:hAnsi="Courier New" w:cs="Courier New"/>
      <w:kern w:val="2"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rsid w:val="00D43CE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D43CE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3.rada.gov.ua/laws/show/3792-12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6</Pages>
  <Words>4559</Words>
  <Characters>2599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Admin</cp:lastModifiedBy>
  <cp:revision>17</cp:revision>
  <dcterms:created xsi:type="dcterms:W3CDTF">2018-10-22T02:29:00Z</dcterms:created>
  <dcterms:modified xsi:type="dcterms:W3CDTF">2018-11-20T12:13:00Z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