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25" w:rsidRPr="00776878" w:rsidRDefault="00DD2925" w:rsidP="00573863">
      <w:pPr>
        <w:jc w:val="right"/>
        <w:rPr>
          <w:rFonts w:ascii="Times New Roman" w:hAnsi="Times New Roman"/>
          <w:b/>
          <w:sz w:val="28"/>
          <w:szCs w:val="28"/>
        </w:rPr>
      </w:pPr>
      <w:r w:rsidRPr="00776878">
        <w:rPr>
          <w:rFonts w:ascii="Times New Roman" w:hAnsi="Times New Roman"/>
          <w:b/>
          <w:sz w:val="28"/>
          <w:szCs w:val="28"/>
        </w:rPr>
        <w:t>Уляна Єфремова</w:t>
      </w:r>
    </w:p>
    <w:p w:rsidR="00DD2925" w:rsidRPr="00776878" w:rsidRDefault="00DD2925" w:rsidP="00573863">
      <w:pPr>
        <w:jc w:val="right"/>
        <w:rPr>
          <w:rFonts w:ascii="Times New Roman" w:hAnsi="Times New Roman"/>
          <w:b/>
          <w:sz w:val="28"/>
          <w:szCs w:val="28"/>
        </w:rPr>
      </w:pPr>
      <w:r w:rsidRPr="00776878">
        <w:rPr>
          <w:rFonts w:ascii="Times New Roman" w:hAnsi="Times New Roman"/>
          <w:b/>
          <w:sz w:val="28"/>
          <w:szCs w:val="28"/>
        </w:rPr>
        <w:t>(Львів, Україна)</w:t>
      </w:r>
    </w:p>
    <w:p w:rsidR="00DD2925" w:rsidRDefault="00DD2925" w:rsidP="004938FA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2925" w:rsidRDefault="00DD2925" w:rsidP="004938FA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340B2">
        <w:rPr>
          <w:rFonts w:ascii="Times New Roman" w:hAnsi="Times New Roman"/>
          <w:b/>
          <w:sz w:val="28"/>
          <w:szCs w:val="28"/>
        </w:rPr>
        <w:t>МОРФОФУНКЦІОНАЛЬНА ХАРАКТЕРИСТИКА СПЕРМАТОЗОЇДІВ ПРИ РІЗНИХ ФОРМАХ ПАТОСПЕРМІЇ</w:t>
      </w:r>
    </w:p>
    <w:p w:rsidR="00DD2925" w:rsidRPr="007340B2" w:rsidRDefault="00DD2925" w:rsidP="004938FA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2925" w:rsidRDefault="00DD2925" w:rsidP="004938F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position w:val="4"/>
          <w:sz w:val="28"/>
          <w:szCs w:val="28"/>
        </w:rPr>
      </w:pPr>
      <w:r w:rsidRPr="00BD152A">
        <w:rPr>
          <w:rFonts w:ascii="Times New Roman" w:hAnsi="Times New Roman"/>
          <w:sz w:val="28"/>
          <w:szCs w:val="28"/>
        </w:rPr>
        <w:t>Порушення репродуктивної функції чоловіків є актуальною проблемою сучасності, що безумовно впливає на генофонд нації і залишається</w:t>
      </w:r>
      <w:r>
        <w:rPr>
          <w:rFonts w:ascii="Times New Roman" w:hAnsi="Times New Roman"/>
          <w:sz w:val="28"/>
          <w:szCs w:val="28"/>
        </w:rPr>
        <w:t xml:space="preserve"> вагомою медичною і соціальною проблемою</w:t>
      </w:r>
      <w:r w:rsidRPr="00BD15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суспільства.</w:t>
      </w:r>
      <w:r w:rsidRPr="00E80000">
        <w:rPr>
          <w:rFonts w:ascii="Times New Roman" w:hAnsi="Times New Roman"/>
          <w:spacing w:val="20"/>
          <w:position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Репродуктивна система чоловіків досить чутлива до дії різних чинників </w:t>
      </w:r>
      <w:r w:rsidRPr="00DF3118">
        <w:rPr>
          <w:rFonts w:ascii="Times New Roman" w:hAnsi="Times New Roman"/>
          <w:sz w:val="28"/>
          <w:szCs w:val="28"/>
        </w:rPr>
        <w:t>[1]</w:t>
      </w:r>
      <w:r>
        <w:rPr>
          <w:rFonts w:ascii="Times New Roman" w:hAnsi="Times New Roman"/>
          <w:sz w:val="28"/>
          <w:szCs w:val="28"/>
        </w:rPr>
        <w:t>, що може призводити до виникнення різного роду патологічних процесів у сперматозоїдах. Зокрема, може порушуватися структура і форма цих клітин, і, як наслідок, зниження їх рухливості і запліднювальної здатності</w:t>
      </w:r>
      <w:r>
        <w:rPr>
          <w:rFonts w:ascii="Times New Roman" w:hAnsi="Times New Roman"/>
          <w:position w:val="4"/>
          <w:sz w:val="28"/>
          <w:szCs w:val="28"/>
        </w:rPr>
        <w:t xml:space="preserve"> [</w:t>
      </w:r>
      <w:r w:rsidRPr="00802774">
        <w:rPr>
          <w:rFonts w:ascii="Times New Roman" w:hAnsi="Times New Roman"/>
          <w:position w:val="4"/>
          <w:sz w:val="28"/>
          <w:szCs w:val="28"/>
        </w:rPr>
        <w:t>2</w:t>
      </w:r>
      <w:r w:rsidRPr="00935474">
        <w:rPr>
          <w:rFonts w:ascii="Times New Roman" w:hAnsi="Times New Roman"/>
          <w:position w:val="4"/>
          <w:sz w:val="28"/>
          <w:szCs w:val="28"/>
        </w:rPr>
        <w:t>].</w:t>
      </w:r>
    </w:p>
    <w:p w:rsidR="00DD2925" w:rsidRDefault="00DD2925" w:rsidP="00A2014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29363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Якість сперми може бути обумовлена низкою факторів, серед яких – недостатня активність сперміїв, їх невелика кількість, невеликий об</w:t>
      </w:r>
      <w:r w:rsidRPr="005D6B86">
        <w:rPr>
          <w:rFonts w:ascii="Times New Roman" w:hAnsi="Times New Roman"/>
          <w:sz w:val="28"/>
          <w:szCs w:val="28"/>
          <w:shd w:val="clear" w:color="auto" w:fill="FFFFFF"/>
          <w:lang w:val="ru-RU" w:eastAsia="uk-UA"/>
        </w:rPr>
        <w:t>’</w:t>
      </w:r>
      <w:r w:rsidRPr="0029363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єм сперми, її в`язкість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</w:t>
      </w:r>
      <w:r w:rsidRPr="0029363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тощо. Всі ці відхилення ведуть до розвитку різної форми патоспермії і часто мож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уть</w:t>
      </w:r>
      <w:r w:rsidRPr="0029363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супроводжуватися безпліддям.</w:t>
      </w:r>
      <w:bookmarkStart w:id="0" w:name="_GoBack"/>
      <w:bookmarkEnd w:id="0"/>
    </w:p>
    <w:p w:rsidR="00DD2925" w:rsidRPr="00891835" w:rsidRDefault="00DD2925" w:rsidP="00227CF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Найбільш важливими показниками для зачаття природнім шляхом є зміни основних показників якості сперми. Так, для олігозооспермії характерне зниження концентрації сперматозоїдів в 1 мл спермальної рідини.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45DDF">
        <w:rPr>
          <w:rFonts w:ascii="Times New Roman" w:hAnsi="Times New Roman"/>
          <w:color w:val="000000"/>
          <w:sz w:val="28"/>
          <w:szCs w:val="28"/>
        </w:rPr>
        <w:t>стенозооспермія</w:t>
      </w:r>
      <w:r>
        <w:rPr>
          <w:rFonts w:ascii="Times New Roman" w:hAnsi="Times New Roman"/>
          <w:color w:val="000000"/>
          <w:sz w:val="28"/>
          <w:szCs w:val="28"/>
        </w:rPr>
        <w:t xml:space="preserve"> характеризується зниженням рухливості сперматозоїдів. О</w:t>
      </w:r>
      <w:r w:rsidRPr="00945DDF">
        <w:rPr>
          <w:rFonts w:ascii="Times New Roman" w:hAnsi="Times New Roman"/>
          <w:color w:val="000000"/>
          <w:sz w:val="28"/>
          <w:szCs w:val="28"/>
        </w:rPr>
        <w:t>лігоастеноспермія</w:t>
      </w:r>
      <w:r>
        <w:rPr>
          <w:rFonts w:ascii="Times New Roman" w:hAnsi="Times New Roman"/>
          <w:color w:val="000000"/>
          <w:sz w:val="28"/>
          <w:szCs w:val="28"/>
        </w:rPr>
        <w:t>, відповідно, це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стан, при якому в еякуляті спостерігається одночасне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зниження концентрації та</w:t>
      </w:r>
      <w:r w:rsidRPr="0089183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рухливості сперматозоїдів. Якщо ж в спермі встановлено збільшення кількості лейкоцитів порівняно з їх кількістю в межах фізіологічної норми, спостерігається лейкоцитоспермія.</w:t>
      </w:r>
    </w:p>
    <w:p w:rsidR="00DD2925" w:rsidRDefault="00DD2925" w:rsidP="003701EE">
      <w:pPr>
        <w:pStyle w:val="PlainText"/>
        <w:spacing w:after="0" w:line="360" w:lineRule="auto"/>
        <w:ind w:firstLine="709"/>
        <w:jc w:val="both"/>
        <w:rPr>
          <w:rFonts w:ascii="Times New Roman" w:eastAsia="MS Mincho" w:hAnsi="Times New Roman"/>
          <w:position w:val="4"/>
          <w:sz w:val="28"/>
          <w:szCs w:val="28"/>
        </w:rPr>
      </w:pPr>
      <w:r w:rsidRPr="00935474">
        <w:rPr>
          <w:rFonts w:ascii="Times New Roman" w:eastAsia="MS Mincho" w:hAnsi="Times New Roman"/>
          <w:position w:val="4"/>
          <w:sz w:val="28"/>
          <w:szCs w:val="28"/>
        </w:rPr>
        <w:t xml:space="preserve">З огляду на важливу роль структурно-функціональної повноцінності сперматозоїдів у репродукції людини  проведені нами дослідження спрямовані на вивчення </w:t>
      </w:r>
      <w:r>
        <w:rPr>
          <w:rFonts w:ascii="Times New Roman" w:eastAsia="MS Mincho" w:hAnsi="Times New Roman"/>
          <w:position w:val="4"/>
          <w:sz w:val="28"/>
          <w:szCs w:val="28"/>
        </w:rPr>
        <w:t>морфологічних і функціональних характеристик сперматозоїдів при</w:t>
      </w:r>
      <w:r w:rsidRPr="00935474">
        <w:rPr>
          <w:rFonts w:ascii="Times New Roman" w:eastAsia="MS Mincho" w:hAnsi="Times New Roman"/>
          <w:position w:val="4"/>
          <w:sz w:val="28"/>
          <w:szCs w:val="28"/>
        </w:rPr>
        <w:t xml:space="preserve"> різних формах неплідності чоловіків</w:t>
      </w:r>
      <w:r>
        <w:rPr>
          <w:rFonts w:ascii="Times New Roman" w:eastAsia="MS Mincho" w:hAnsi="Times New Roman"/>
          <w:position w:val="4"/>
          <w:sz w:val="28"/>
          <w:szCs w:val="28"/>
        </w:rPr>
        <w:t>, що</w:t>
      </w:r>
      <w:r w:rsidRPr="00935474">
        <w:rPr>
          <w:rFonts w:ascii="Times New Roman" w:eastAsia="MS Mincho" w:hAnsi="Times New Roman"/>
          <w:position w:val="4"/>
          <w:sz w:val="28"/>
          <w:szCs w:val="28"/>
        </w:rPr>
        <w:t xml:space="preserve"> мають як теоретичне, так і практичне значення.</w:t>
      </w:r>
    </w:p>
    <w:p w:rsidR="00DD2925" w:rsidRPr="00DA7E71" w:rsidRDefault="00DD2925" w:rsidP="005D6B86">
      <w:pPr>
        <w:pStyle w:val="PlainText"/>
        <w:spacing w:after="0" w:line="360" w:lineRule="auto"/>
        <w:ind w:firstLine="709"/>
        <w:jc w:val="both"/>
        <w:rPr>
          <w:rFonts w:ascii="Times New Roman" w:eastAsia="MS Mincho" w:hAnsi="Times New Roman"/>
          <w:position w:val="4"/>
          <w:sz w:val="28"/>
          <w:szCs w:val="28"/>
          <w:lang w:val="ru-RU"/>
        </w:rPr>
      </w:pPr>
      <w:r w:rsidRPr="00DA7E71">
        <w:rPr>
          <w:rFonts w:ascii="Times New Roman" w:hAnsi="Times New Roman"/>
          <w:sz w:val="28"/>
          <w:szCs w:val="28"/>
        </w:rPr>
        <w:t xml:space="preserve">У наших дослідженнях використані сперматозоїди 72 чоловіків у віці 20–44 років, що включали як умовно здорових без розладів репродуктивної функції, так і неплідних чоловіків. Контрольну групу складали   20 соматично здорових чоловіків зі збереженою фертильністю й нормозооспермією та підтвердженим батьківством. Усім чоловікам проведено аналіз спермограми, що включав рухливість, концентрацію і морфологічні характеристики сперматозоїдів. </w:t>
      </w:r>
      <w:r w:rsidRPr="00DA7E71">
        <w:rPr>
          <w:rFonts w:ascii="Times New Roman" w:hAnsi="Times New Roman"/>
          <w:position w:val="2"/>
          <w:sz w:val="28"/>
          <w:szCs w:val="28"/>
        </w:rPr>
        <w:t xml:space="preserve">Дослідження морфологічних особливостей сперми грунтувались на використанні методу </w:t>
      </w:r>
      <w:r w:rsidRPr="00DA7E71">
        <w:rPr>
          <w:rFonts w:ascii="Times New Roman" w:hAnsi="Times New Roman"/>
          <w:color w:val="000000"/>
          <w:sz w:val="28"/>
          <w:szCs w:val="28"/>
        </w:rPr>
        <w:t>[</w:t>
      </w:r>
      <w:r w:rsidRPr="00DA7E71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DA7E71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Pr="00DA7E71">
        <w:rPr>
          <w:rFonts w:ascii="Times New Roman" w:hAnsi="Times New Roman"/>
          <w:color w:val="000000"/>
          <w:sz w:val="28"/>
          <w:szCs w:val="28"/>
        </w:rPr>
        <w:t xml:space="preserve">оказники спермограм оцінювали за допомогою світлооптичної мікроскопії, згідно з директивами щодо їх проведення (ВООЗ, 2010) </w:t>
      </w:r>
      <w:r w:rsidRPr="001C686E">
        <w:rPr>
          <w:rFonts w:ascii="Times New Roman" w:hAnsi="Times New Roman"/>
          <w:sz w:val="28"/>
          <w:szCs w:val="28"/>
        </w:rPr>
        <w:t>[4].</w:t>
      </w:r>
      <w:r w:rsidRPr="00DA7E7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D2925" w:rsidRPr="005D6B86" w:rsidRDefault="00DD2925" w:rsidP="005D6B8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Усіх </w:t>
      </w:r>
      <w:r w:rsidRPr="00945DDF">
        <w:rPr>
          <w:rFonts w:ascii="Times New Roman" w:hAnsi="Times New Roman"/>
          <w:color w:val="000000"/>
          <w:sz w:val="28"/>
          <w:szCs w:val="28"/>
        </w:rPr>
        <w:t>пацієнтів було розділено на 4 групи. З</w:t>
      </w:r>
      <w:r>
        <w:rPr>
          <w:rFonts w:ascii="Times New Roman" w:hAnsi="Times New Roman"/>
          <w:color w:val="000000"/>
          <w:sz w:val="28"/>
          <w:szCs w:val="28"/>
        </w:rPr>
        <w:t>гідно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 спермограм олігозооспермія була виявлена у 12 пацієнтів (16,7 %), які увійшли у 1-шу групу, астенозооспермія у 17 пацієнтів (23,6 %), що склали 2-гу групу, олігоастеноспермія у 10 пацієнтів (13,9 %), які увійшли в 3-тю групу. У 39 (54,2 %) обстежуваних неплідних чоловіків вміст лейкоцитів у спермі складав &lt;1,0·10</w:t>
      </w:r>
      <w:r w:rsidRPr="00945DDF">
        <w:rPr>
          <w:rFonts w:ascii="Times New Roman" w:hAnsi="Times New Roman"/>
          <w:color w:val="000000"/>
          <w:sz w:val="28"/>
          <w:szCs w:val="28"/>
          <w:vertAlign w:val="superscript"/>
        </w:rPr>
        <w:t>6 </w:t>
      </w:r>
      <w:r w:rsidRPr="00945DDF">
        <w:rPr>
          <w:rFonts w:ascii="Times New Roman" w:hAnsi="Times New Roman"/>
          <w:color w:val="000000"/>
          <w:sz w:val="28"/>
          <w:szCs w:val="28"/>
        </w:rPr>
        <w:t>/мл, лише у 33 (45,8 %) пацієнтів відзначалася лейкоцитоспермія, тобто вміст лейкоцитів коливалося від 1,0·10</w:t>
      </w:r>
      <w:r w:rsidRPr="00945DDF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6 </w:t>
      </w:r>
      <w:r w:rsidRPr="00945DDF">
        <w:rPr>
          <w:rFonts w:ascii="Times New Roman" w:hAnsi="Times New Roman"/>
          <w:color w:val="000000"/>
          <w:sz w:val="28"/>
          <w:szCs w:val="28"/>
        </w:rPr>
        <w:t>/мл до 3,0·10</w:t>
      </w:r>
      <w:r w:rsidRPr="00945DDF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6 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/мл, що свідчило про наявність запального процесу у цих чоловіків. Вони складали 4-ту групу. </w:t>
      </w:r>
    </w:p>
    <w:p w:rsidR="00DD2925" w:rsidRPr="00945DDF" w:rsidRDefault="00DD2925" w:rsidP="000D147A">
      <w:pPr>
        <w:pStyle w:val="BodyText2"/>
        <w:spacing w:after="0"/>
        <w:ind w:right="-82" w:firstLine="709"/>
      </w:pPr>
      <w:r>
        <w:t>П</w:t>
      </w:r>
      <w:r w:rsidRPr="00945DDF">
        <w:t xml:space="preserve">ри аналізі отриманих нами </w:t>
      </w:r>
      <w:r>
        <w:t>спермограм встановлено</w:t>
      </w:r>
      <w:r w:rsidRPr="00945DDF">
        <w:t xml:space="preserve">, </w:t>
      </w:r>
      <w:r>
        <w:t>що показники, які</w:t>
      </w:r>
      <w:r w:rsidRPr="00945DDF">
        <w:t xml:space="preserve"> характеризують функціональний стан сперматозоїдів і сперми, значно відрізнялись в ко</w:t>
      </w:r>
      <w:r>
        <w:t>нтрольній і дослідних групах</w:t>
      </w:r>
      <w:r w:rsidRPr="00945DDF">
        <w:t>. При цьому показники рН сперми не відрізнялись значною варіабельністю і знаходились в межах норми (7,2-8,0).</w:t>
      </w:r>
    </w:p>
    <w:p w:rsidR="00DD2925" w:rsidRPr="00D84E00" w:rsidRDefault="00DD2925" w:rsidP="00FE2AC4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к</w:t>
      </w:r>
      <w:r w:rsidRPr="00945DDF">
        <w:rPr>
          <w:rFonts w:ascii="Times New Roman" w:hAnsi="Times New Roman"/>
          <w:sz w:val="28"/>
          <w:szCs w:val="28"/>
        </w:rPr>
        <w:t>онцентрація сперматозоїдів при нормозооспермії становила 50,0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 </w:t>
      </w:r>
      <w:r w:rsidRPr="00945DDF">
        <w:rPr>
          <w:rFonts w:ascii="Times New Roman" w:hAnsi="Times New Roman"/>
          <w:sz w:val="28"/>
          <w:szCs w:val="28"/>
        </w:rPr>
        <w:t>млн/мл, а загальна їх кількість в еякуляті – 138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7,4 млн. При патоспермії концентрація сперматозоїдів у групі 1 (олігозооспермія) складала 11,95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2,35 млн/мл, у групі 2 (астенозооспермія) – 44,30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5,35 млн/мл, у групі 3 (олігоастенозооспермія) – 9,95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1,65 млн/мл, а у групі 4 (лейкоцитоспермія) – 46,40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6,20 млн/мл. Слід відмітити, що</w:t>
      </w:r>
      <w:r>
        <w:rPr>
          <w:rFonts w:ascii="Times New Roman" w:hAnsi="Times New Roman"/>
          <w:sz w:val="28"/>
          <w:szCs w:val="28"/>
        </w:rPr>
        <w:t xml:space="preserve"> поняття </w:t>
      </w:r>
      <w:r w:rsidRPr="004205A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олігозооспермія</w:t>
      </w:r>
      <w:r w:rsidRPr="004205AC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за останніми даними ВООЗ [</w:t>
      </w:r>
      <w:r w:rsidRPr="004205AC">
        <w:rPr>
          <w:rFonts w:ascii="Times New Roman" w:hAnsi="Times New Roman"/>
          <w:sz w:val="28"/>
          <w:szCs w:val="28"/>
        </w:rPr>
        <w:t>4</w:t>
      </w:r>
      <w:r w:rsidRPr="00945DDF">
        <w:rPr>
          <w:rFonts w:ascii="Times New Roman" w:hAnsi="Times New Roman"/>
          <w:sz w:val="28"/>
          <w:szCs w:val="28"/>
        </w:rPr>
        <w:t xml:space="preserve">] характеризується концентрацією сперматозоїдів &lt;20 млн/мл або &lt;40 млн/еякулят. </w:t>
      </w:r>
    </w:p>
    <w:p w:rsidR="00DD2925" w:rsidRPr="00F16292" w:rsidRDefault="00DD2925" w:rsidP="00FE2AC4">
      <w:pPr>
        <w:spacing w:after="0" w:line="360" w:lineRule="auto"/>
        <w:ind w:right="98"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F16292">
        <w:rPr>
          <w:rFonts w:ascii="Times New Roman" w:hAnsi="Times New Roman"/>
          <w:spacing w:val="-2"/>
          <w:sz w:val="28"/>
          <w:szCs w:val="28"/>
        </w:rPr>
        <w:t>Хоча концентрація сперматозоїдів є важлив</w:t>
      </w:r>
      <w:r>
        <w:rPr>
          <w:rFonts w:ascii="Times New Roman" w:hAnsi="Times New Roman"/>
          <w:spacing w:val="-2"/>
          <w:sz w:val="28"/>
          <w:szCs w:val="28"/>
        </w:rPr>
        <w:t>ою характеристикою сперми,</w:t>
      </w:r>
      <w:r w:rsidRPr="00F16292">
        <w:rPr>
          <w:rFonts w:ascii="Times New Roman" w:hAnsi="Times New Roman"/>
          <w:spacing w:val="-2"/>
          <w:sz w:val="28"/>
          <w:szCs w:val="28"/>
        </w:rPr>
        <w:t xml:space="preserve"> її запліднююча здатність залежить в більшій мірі від концентрації та загальної кількості рухливих сперматозоїдів </w:t>
      </w:r>
      <w:r>
        <w:rPr>
          <w:rFonts w:ascii="Times New Roman" w:hAnsi="Times New Roman"/>
          <w:spacing w:val="-2"/>
          <w:sz w:val="28"/>
          <w:szCs w:val="28"/>
        </w:rPr>
        <w:t>і</w:t>
      </w:r>
      <w:r w:rsidRPr="00F16292">
        <w:rPr>
          <w:rFonts w:ascii="Times New Roman" w:hAnsi="Times New Roman"/>
          <w:spacing w:val="-2"/>
          <w:sz w:val="28"/>
          <w:szCs w:val="28"/>
        </w:rPr>
        <w:t>з нормальною будовою, тобто тих, які здатні приймати участь в</w:t>
      </w:r>
      <w:r>
        <w:rPr>
          <w:rFonts w:ascii="Times New Roman" w:hAnsi="Times New Roman"/>
          <w:spacing w:val="-2"/>
          <w:sz w:val="28"/>
          <w:szCs w:val="28"/>
        </w:rPr>
        <w:t xml:space="preserve"> спермо-ооцитарній реакції</w:t>
      </w:r>
      <w:r w:rsidRPr="00F16292">
        <w:rPr>
          <w:rFonts w:ascii="Times New Roman" w:hAnsi="Times New Roman"/>
          <w:spacing w:val="-2"/>
          <w:sz w:val="28"/>
          <w:szCs w:val="28"/>
        </w:rPr>
        <w:t xml:space="preserve">. </w:t>
      </w:r>
    </w:p>
    <w:p w:rsidR="00DD2925" w:rsidRDefault="00DD2925" w:rsidP="004B121A">
      <w:pPr>
        <w:widowControl w:val="0"/>
        <w:spacing w:after="0" w:line="360" w:lineRule="auto"/>
        <w:ind w:right="96"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Виявлено, що в межах норми</w:t>
      </w:r>
      <w:r w:rsidRPr="00945DDF">
        <w:rPr>
          <w:rFonts w:ascii="Times New Roman" w:hAnsi="Times New Roman"/>
          <w:sz w:val="28"/>
          <w:szCs w:val="28"/>
        </w:rPr>
        <w:t xml:space="preserve"> рухливість сперматозоїдів складала 52,86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3,22 %, а кількість патологічних форм була 32,8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>
        <w:rPr>
          <w:rFonts w:ascii="Times New Roman" w:hAnsi="Times New Roman"/>
          <w:sz w:val="28"/>
          <w:szCs w:val="28"/>
        </w:rPr>
        <w:t>2,8 %</w:t>
      </w:r>
      <w:r w:rsidRPr="00945DDF">
        <w:rPr>
          <w:rFonts w:ascii="Times New Roman" w:hAnsi="Times New Roman"/>
          <w:sz w:val="28"/>
          <w:szCs w:val="28"/>
        </w:rPr>
        <w:t>.</w:t>
      </w:r>
      <w:r w:rsidRPr="00945DDF">
        <w:rPr>
          <w:rFonts w:ascii="Times New Roman" w:hAnsi="Times New Roman"/>
          <w:color w:val="C00000"/>
          <w:sz w:val="28"/>
          <w:szCs w:val="28"/>
        </w:rPr>
        <w:t xml:space="preserve"> </w:t>
      </w:r>
    </w:p>
    <w:p w:rsidR="00DD2925" w:rsidRDefault="00DD2925" w:rsidP="005D6B86">
      <w:pPr>
        <w:widowControl w:val="0"/>
        <w:spacing w:after="0" w:line="360" w:lineRule="auto"/>
        <w:ind w:right="96" w:firstLine="709"/>
        <w:jc w:val="both"/>
        <w:rPr>
          <w:rFonts w:ascii="Times New Roman" w:hAnsi="Times New Roman"/>
          <w:sz w:val="28"/>
          <w:szCs w:val="28"/>
        </w:rPr>
      </w:pPr>
      <w:r w:rsidRPr="00945DDF">
        <w:rPr>
          <w:rFonts w:ascii="Times New Roman" w:hAnsi="Times New Roman"/>
          <w:sz w:val="28"/>
          <w:szCs w:val="28"/>
        </w:rPr>
        <w:t>При патоспермії у групі 1 відносна кількість рухливи</w:t>
      </w:r>
      <w:r>
        <w:rPr>
          <w:rFonts w:ascii="Times New Roman" w:hAnsi="Times New Roman"/>
          <w:sz w:val="28"/>
          <w:szCs w:val="28"/>
        </w:rPr>
        <w:t xml:space="preserve">х сперматозоїдів становила </w:t>
      </w:r>
      <w:r w:rsidRPr="00945DDF">
        <w:rPr>
          <w:rFonts w:ascii="Times New Roman" w:hAnsi="Times New Roman"/>
          <w:sz w:val="28"/>
          <w:szCs w:val="28"/>
        </w:rPr>
        <w:t>42,33±4,95</w:t>
      </w:r>
      <w:r>
        <w:rPr>
          <w:rFonts w:ascii="Times New Roman" w:hAnsi="Times New Roman"/>
          <w:sz w:val="28"/>
          <w:szCs w:val="28"/>
        </w:rPr>
        <w:t xml:space="preserve"> % і, в свою чергу, була в 1,25 раза меншою (р&lt;0,05) щодо контрольної групи чоловіків</w:t>
      </w:r>
      <w:r w:rsidRPr="00945DDF">
        <w:rPr>
          <w:rFonts w:ascii="Times New Roman" w:hAnsi="Times New Roman"/>
          <w:sz w:val="28"/>
          <w:szCs w:val="28"/>
        </w:rPr>
        <w:t>, а кіл</w:t>
      </w:r>
      <w:r>
        <w:rPr>
          <w:rFonts w:ascii="Times New Roman" w:hAnsi="Times New Roman"/>
          <w:sz w:val="28"/>
          <w:szCs w:val="28"/>
        </w:rPr>
        <w:t xml:space="preserve">ькість патологічних форм становила </w:t>
      </w:r>
      <w:r w:rsidRPr="00945DDF">
        <w:rPr>
          <w:rFonts w:ascii="Times New Roman" w:hAnsi="Times New Roman"/>
          <w:sz w:val="28"/>
          <w:szCs w:val="28"/>
        </w:rPr>
        <w:t>39,72±3,2</w:t>
      </w:r>
      <w:r>
        <w:rPr>
          <w:rFonts w:ascii="Times New Roman" w:hAnsi="Times New Roman"/>
          <w:sz w:val="28"/>
          <w:szCs w:val="28"/>
        </w:rPr>
        <w:t xml:space="preserve"> %, тобто зростала в 1,2 раза (р&lt;0,05) порівняно зі здоровими чоловіками.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45DDF">
        <w:rPr>
          <w:rFonts w:ascii="Times New Roman" w:hAnsi="Times New Roman"/>
          <w:sz w:val="28"/>
          <w:szCs w:val="28"/>
        </w:rPr>
        <w:t>У групі 2 відносна кількість рухливих сперматозоїд</w:t>
      </w:r>
      <w:r>
        <w:rPr>
          <w:rFonts w:ascii="Times New Roman" w:hAnsi="Times New Roman"/>
          <w:sz w:val="28"/>
          <w:szCs w:val="28"/>
        </w:rPr>
        <w:t>ів знижувалась в 2</w:t>
      </w:r>
      <w:r w:rsidRPr="00945D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 раза (р&lt;0,001),</w:t>
      </w:r>
      <w:r w:rsidRPr="00945DDF">
        <w:rPr>
          <w:rFonts w:ascii="Times New Roman" w:hAnsi="Times New Roman"/>
          <w:sz w:val="28"/>
          <w:szCs w:val="28"/>
        </w:rPr>
        <w:t xml:space="preserve"> а кі</w:t>
      </w:r>
      <w:r>
        <w:rPr>
          <w:rFonts w:ascii="Times New Roman" w:hAnsi="Times New Roman"/>
          <w:sz w:val="28"/>
          <w:szCs w:val="28"/>
        </w:rPr>
        <w:t>лькість патологічних форм зростала в 1,4 раза (р&lt;0,05) порівняно з показниками при нормозооспермії.</w:t>
      </w:r>
    </w:p>
    <w:p w:rsidR="00DD2925" w:rsidRDefault="00DD2925" w:rsidP="005D6B86">
      <w:pPr>
        <w:widowControl w:val="0"/>
        <w:spacing w:after="0" w:line="360" w:lineRule="auto"/>
        <w:ind w:right="9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патоспермії у</w:t>
      </w:r>
      <w:r w:rsidRPr="00945DDF">
        <w:rPr>
          <w:rFonts w:ascii="Times New Roman" w:hAnsi="Times New Roman"/>
          <w:sz w:val="28"/>
          <w:szCs w:val="28"/>
        </w:rPr>
        <w:t xml:space="preserve"> групі 2 відносна кількість рухливих сперматозоїдів була 24,05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5,35 %, а кількість патологічних форм – 45,5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5,2 %. У групі 3 відносна кількість рухливих сперматозоїдів становила 26,05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4,25 %, а кількість патологічних – 42,7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3,2 %. При лейкоцитоспермії (група 4) відносна кількість рухливих сперматозоїдів становила 42,34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>3,24 %, а кількість патологічних – 42,4</w:t>
      </w:r>
      <w:r w:rsidRPr="00945DDF">
        <w:rPr>
          <w:rFonts w:ascii="Times New Roman" w:hAnsi="Times New Roman"/>
          <w:sz w:val="28"/>
          <w:szCs w:val="28"/>
        </w:rPr>
        <w:sym w:font="Symbol" w:char="F0B1"/>
      </w:r>
      <w:r w:rsidRPr="00945DDF">
        <w:rPr>
          <w:rFonts w:ascii="Times New Roman" w:hAnsi="Times New Roman"/>
          <w:sz w:val="28"/>
          <w:szCs w:val="28"/>
        </w:rPr>
        <w:t xml:space="preserve">3,6 %. </w:t>
      </w:r>
    </w:p>
    <w:p w:rsidR="00DD2925" w:rsidRPr="000D147A" w:rsidRDefault="00DD2925" w:rsidP="00FE2AC4">
      <w:pPr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525164">
        <w:rPr>
          <w:rFonts w:ascii="Times New Roman" w:hAnsi="Times New Roman"/>
          <w:spacing w:val="-2"/>
          <w:sz w:val="28"/>
          <w:szCs w:val="28"/>
        </w:rPr>
        <w:t>Концентрація лейкоцитів в еякуляті у нормі становила 0,28</w:t>
      </w:r>
      <w:r w:rsidRPr="00525164">
        <w:rPr>
          <w:rFonts w:ascii="Times New Roman" w:hAnsi="Times New Roman"/>
          <w:spacing w:val="-2"/>
          <w:sz w:val="28"/>
          <w:szCs w:val="28"/>
        </w:rPr>
        <w:sym w:font="Symbol" w:char="F0B1"/>
      </w:r>
      <w:r w:rsidRPr="00525164">
        <w:rPr>
          <w:rFonts w:ascii="Times New Roman" w:hAnsi="Times New Roman"/>
          <w:spacing w:val="-2"/>
          <w:sz w:val="28"/>
          <w:szCs w:val="28"/>
        </w:rPr>
        <w:t>0,06 млн/мл. При всіх видах патоспермій вона була значно вищою: при олігозооспермії – в 1,6 раза (р&lt;0,001), астенозооспермії – в 1,2 раза (р&lt;0,05), олігоастенозооспермії – в 1,6 раза (р&lt;0,001), а при лейкоцитоспермії – в 5,6 раза (р&lt;0,001).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D147A">
        <w:rPr>
          <w:rFonts w:ascii="Times New Roman" w:hAnsi="Times New Roman"/>
          <w:sz w:val="28"/>
          <w:szCs w:val="28"/>
        </w:rPr>
        <w:t>Найбільш виражені зміни спостерігаються у значенні концентрації лейкоцитів в еякуляті інфертильних чоловіків (4-та група), проте інші показники сперматограми знаходяться в межах фізіологічної норми</w:t>
      </w:r>
      <w:r>
        <w:rPr>
          <w:rFonts w:ascii="Times New Roman" w:hAnsi="Times New Roman"/>
          <w:sz w:val="28"/>
          <w:szCs w:val="28"/>
        </w:rPr>
        <w:t>.</w:t>
      </w:r>
    </w:p>
    <w:p w:rsidR="00DD2925" w:rsidRDefault="00DD2925" w:rsidP="008D341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35474">
        <w:rPr>
          <w:rFonts w:ascii="Times New Roman" w:hAnsi="Times New Roman"/>
          <w:position w:val="4"/>
          <w:sz w:val="28"/>
          <w:szCs w:val="28"/>
        </w:rPr>
        <w:t>Добре відомо, що збільшення лейкоцитів є маркером запалення і/або інфекції. Це негативно впливає на клітини сперми, оскільки</w:t>
      </w:r>
      <w:r>
        <w:rPr>
          <w:rFonts w:ascii="Times New Roman" w:hAnsi="Times New Roman"/>
          <w:position w:val="4"/>
          <w:sz w:val="28"/>
          <w:szCs w:val="28"/>
        </w:rPr>
        <w:t xml:space="preserve"> лейкоцити</w:t>
      </w:r>
      <w:r w:rsidRPr="00935474">
        <w:rPr>
          <w:rFonts w:ascii="Times New Roman" w:hAnsi="Times New Roman"/>
          <w:position w:val="4"/>
          <w:sz w:val="28"/>
          <w:szCs w:val="28"/>
        </w:rPr>
        <w:t xml:space="preserve"> </w:t>
      </w:r>
      <w:r w:rsidRPr="00751210">
        <w:rPr>
          <w:rFonts w:ascii="Times New Roman" w:hAnsi="Times New Roman"/>
          <w:position w:val="4"/>
          <w:sz w:val="28"/>
          <w:szCs w:val="28"/>
        </w:rPr>
        <w:t>стимулюють утворення активних форм кисню, які володіють високою реакційною здатністю і індукують розвиток оксидативного стрес</w:t>
      </w:r>
      <w:r>
        <w:rPr>
          <w:rFonts w:ascii="Times New Roman" w:hAnsi="Times New Roman"/>
          <w:position w:val="4"/>
          <w:sz w:val="28"/>
          <w:szCs w:val="28"/>
        </w:rPr>
        <w:t>у. Внаслідок</w:t>
      </w:r>
      <w:r w:rsidRPr="00751210">
        <w:rPr>
          <w:rFonts w:ascii="Times New Roman" w:hAnsi="Times New Roman"/>
          <w:sz w:val="28"/>
          <w:szCs w:val="28"/>
        </w:rPr>
        <w:t xml:space="preserve"> окиснення біомолекул та ініціювання ланцюгових процесів пероксидного окиснення в мембранних ліпідах активні форми кисню  можуть призводити до ураження клітин,</w:t>
      </w:r>
      <w:r>
        <w:rPr>
          <w:rFonts w:ascii="Times New Roman" w:hAnsi="Times New Roman"/>
          <w:sz w:val="28"/>
          <w:szCs w:val="28"/>
        </w:rPr>
        <w:t xml:space="preserve"> одночасно ушкоджуючи захисну оболонку сперматозоїдів і</w:t>
      </w:r>
      <w:r w:rsidRPr="00751210">
        <w:rPr>
          <w:rFonts w:ascii="Times New Roman" w:hAnsi="Times New Roman"/>
          <w:position w:val="4"/>
          <w:sz w:val="28"/>
          <w:szCs w:val="28"/>
        </w:rPr>
        <w:t xml:space="preserve"> </w:t>
      </w:r>
      <w:r w:rsidRPr="008D341A">
        <w:rPr>
          <w:rFonts w:ascii="Times New Roman" w:hAnsi="Times New Roman"/>
          <w:sz w:val="28"/>
          <w:szCs w:val="28"/>
        </w:rPr>
        <w:t xml:space="preserve">тим самим перешкоджаючи їх рухливості і функціональній активності </w:t>
      </w:r>
      <w:r>
        <w:rPr>
          <w:rFonts w:ascii="Times New Roman" w:hAnsi="Times New Roman"/>
          <w:sz w:val="28"/>
          <w:szCs w:val="28"/>
        </w:rPr>
        <w:t>[5, 6</w:t>
      </w:r>
      <w:r w:rsidRPr="008D341A">
        <w:rPr>
          <w:rFonts w:ascii="Times New Roman" w:hAnsi="Times New Roman"/>
          <w:sz w:val="28"/>
          <w:szCs w:val="28"/>
        </w:rPr>
        <w:t>]. Зміна ліпідного оточення мембран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341A">
        <w:rPr>
          <w:rFonts w:ascii="Times New Roman" w:hAnsi="Times New Roman"/>
          <w:sz w:val="28"/>
          <w:szCs w:val="28"/>
        </w:rPr>
        <w:t>і посилення процесів пероксидації призводять до структурних порушень в клітинах та активності мембранозв’язаних ензимів [</w:t>
      </w:r>
      <w:r>
        <w:rPr>
          <w:rFonts w:ascii="Times New Roman" w:hAnsi="Times New Roman"/>
          <w:sz w:val="28"/>
          <w:szCs w:val="28"/>
        </w:rPr>
        <w:t>6</w:t>
      </w:r>
      <w:r w:rsidRPr="008D341A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Оксидативний стрес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 може призвести до пошкодження с</w:t>
      </w:r>
      <w:r>
        <w:rPr>
          <w:rFonts w:ascii="Times New Roman" w:hAnsi="Times New Roman"/>
          <w:color w:val="000000"/>
          <w:sz w:val="28"/>
          <w:szCs w:val="28"/>
        </w:rPr>
        <w:t>перматозоїда, якщо  концентрація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 лейкоци</w:t>
      </w:r>
      <w:r>
        <w:rPr>
          <w:rFonts w:ascii="Times New Roman" w:hAnsi="Times New Roman"/>
          <w:color w:val="000000"/>
          <w:sz w:val="28"/>
          <w:szCs w:val="28"/>
        </w:rPr>
        <w:t>тів у спермі є аномально високою</w:t>
      </w:r>
      <w:r w:rsidRPr="00945DDF">
        <w:rPr>
          <w:rFonts w:ascii="Times New Roman" w:hAnsi="Times New Roman"/>
          <w:color w:val="000000"/>
          <w:sz w:val="28"/>
          <w:szCs w:val="28"/>
        </w:rPr>
        <w:t>, як за умов лейкоцитоспермії [7].</w:t>
      </w:r>
    </w:p>
    <w:p w:rsidR="00DD2925" w:rsidRDefault="00DD2925" w:rsidP="008D341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45DDF">
        <w:rPr>
          <w:rFonts w:ascii="Times New Roman" w:hAnsi="Times New Roman"/>
          <w:sz w:val="28"/>
          <w:szCs w:val="28"/>
        </w:rPr>
        <w:t>ослідження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[8</w:t>
      </w:r>
      <w:r w:rsidRPr="00945DDF">
        <w:rPr>
          <w:rFonts w:ascii="Times New Roman" w:hAnsi="Times New Roman"/>
          <w:color w:val="000000"/>
          <w:sz w:val="28"/>
          <w:szCs w:val="28"/>
        </w:rPr>
        <w:t>]</w:t>
      </w:r>
      <w:r w:rsidRPr="00945DDF">
        <w:rPr>
          <w:rFonts w:ascii="Times New Roman" w:hAnsi="Times New Roman"/>
          <w:sz w:val="28"/>
          <w:szCs w:val="28"/>
        </w:rPr>
        <w:t xml:space="preserve"> вказують на кореляцію між зниженням функції сперматозоїдів і спермальної  плазми з аномально підвищеним рівнем</w:t>
      </w:r>
      <w:r w:rsidRPr="00945D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активних форм кисню</w:t>
      </w:r>
      <w:r w:rsidRPr="00945DDF">
        <w:rPr>
          <w:rFonts w:ascii="Times New Roman" w:hAnsi="Times New Roman"/>
          <w:sz w:val="28"/>
          <w:szCs w:val="28"/>
        </w:rPr>
        <w:t xml:space="preserve">, </w:t>
      </w:r>
      <w:r w:rsidRPr="00945DDF">
        <w:rPr>
          <w:rFonts w:ascii="Times New Roman" w:hAnsi="Times New Roman"/>
          <w:sz w:val="28"/>
          <w:szCs w:val="28"/>
          <w:lang w:val="en-US"/>
        </w:rPr>
        <w:t>IL</w:t>
      </w:r>
      <w:r w:rsidRPr="00945DDF">
        <w:rPr>
          <w:rFonts w:ascii="Times New Roman" w:hAnsi="Times New Roman"/>
          <w:sz w:val="28"/>
          <w:szCs w:val="28"/>
        </w:rPr>
        <w:t xml:space="preserve">-6, </w:t>
      </w:r>
      <w:r w:rsidRPr="00945DDF">
        <w:rPr>
          <w:rFonts w:ascii="Times New Roman" w:hAnsi="Times New Roman"/>
          <w:sz w:val="28"/>
          <w:szCs w:val="28"/>
          <w:lang w:val="en-US"/>
        </w:rPr>
        <w:t>IL</w:t>
      </w:r>
      <w:r>
        <w:rPr>
          <w:rFonts w:ascii="Times New Roman" w:hAnsi="Times New Roman"/>
          <w:sz w:val="28"/>
          <w:szCs w:val="28"/>
        </w:rPr>
        <w:t>-8 і фактором</w:t>
      </w:r>
      <w:r w:rsidRPr="00945DDF">
        <w:rPr>
          <w:rFonts w:ascii="Times New Roman" w:hAnsi="Times New Roman"/>
          <w:sz w:val="28"/>
          <w:szCs w:val="28"/>
        </w:rPr>
        <w:t xml:space="preserve"> некрозу пухлин, всі з яких призводять до  пошкодження мембрани в результаті пероксидного окиснення ліпідів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D2925" w:rsidRDefault="00DD2925" w:rsidP="00760CE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notranslate"/>
          <w:color w:val="252525"/>
          <w:sz w:val="28"/>
          <w:szCs w:val="28"/>
        </w:rPr>
      </w:pPr>
      <w:r>
        <w:rPr>
          <w:rStyle w:val="notranslate"/>
          <w:sz w:val="28"/>
          <w:szCs w:val="28"/>
        </w:rPr>
        <w:t xml:space="preserve">Показано </w:t>
      </w:r>
      <w:r>
        <w:rPr>
          <w:rStyle w:val="apple-converted-space"/>
          <w:sz w:val="28"/>
          <w:szCs w:val="28"/>
          <w:shd w:val="clear" w:color="auto" w:fill="FFFFFF"/>
        </w:rPr>
        <w:t>[9</w:t>
      </w:r>
      <w:r w:rsidRPr="00760CEE">
        <w:rPr>
          <w:rStyle w:val="apple-converted-space"/>
          <w:sz w:val="28"/>
          <w:szCs w:val="28"/>
          <w:shd w:val="clear" w:color="auto" w:fill="FFFFFF"/>
        </w:rPr>
        <w:t>]</w:t>
      </w:r>
      <w:r>
        <w:rPr>
          <w:rStyle w:val="notranslate"/>
          <w:sz w:val="28"/>
          <w:szCs w:val="28"/>
        </w:rPr>
        <w:t>, що з</w:t>
      </w:r>
      <w:r w:rsidRPr="00760CEE">
        <w:rPr>
          <w:rStyle w:val="notranslate"/>
          <w:sz w:val="28"/>
          <w:szCs w:val="28"/>
        </w:rPr>
        <w:t xml:space="preserve"> віком у чоловіків послідовно знижуєт</w:t>
      </w:r>
      <w:r>
        <w:rPr>
          <w:rStyle w:val="notranslate"/>
          <w:sz w:val="28"/>
          <w:szCs w:val="28"/>
        </w:rPr>
        <w:t>ься якість сперми</w:t>
      </w:r>
      <w:r w:rsidRPr="00760CEE">
        <w:rPr>
          <w:rStyle w:val="notranslate"/>
          <w:sz w:val="28"/>
          <w:szCs w:val="28"/>
        </w:rPr>
        <w:t xml:space="preserve"> і це зниження пояснюється пошкодженням ДНК</w:t>
      </w:r>
      <w:r w:rsidRPr="00760CEE">
        <w:rPr>
          <w:rStyle w:val="apple-converted-space"/>
          <w:sz w:val="28"/>
          <w:szCs w:val="28"/>
          <w:shd w:val="clear" w:color="auto" w:fill="FFFFFF"/>
        </w:rPr>
        <w:t>.</w:t>
      </w:r>
      <w:r w:rsidRPr="00760CEE">
        <w:rPr>
          <w:sz w:val="28"/>
          <w:szCs w:val="28"/>
        </w:rPr>
        <w:t xml:space="preserve"> </w:t>
      </w:r>
      <w:r w:rsidRPr="00945DDF">
        <w:rPr>
          <w:rStyle w:val="notranslate"/>
          <w:sz w:val="28"/>
          <w:szCs w:val="28"/>
        </w:rPr>
        <w:t xml:space="preserve">Виявлений взаємозв’язок між патологічним </w:t>
      </w:r>
      <w:hyperlink r:id="rId5" w:tooltip="метилювання ДНК" w:history="1">
        <w:r w:rsidRPr="00760CEE">
          <w:rPr>
            <w:rStyle w:val="Hyperlink"/>
            <w:rFonts w:eastAsia="SimSun"/>
            <w:color w:val="auto"/>
            <w:sz w:val="28"/>
            <w:szCs w:val="28"/>
            <w:u w:val="none"/>
          </w:rPr>
          <w:t>метилювання</w:t>
        </w:r>
        <w:r>
          <w:rPr>
            <w:rStyle w:val="Hyperlink"/>
            <w:rFonts w:eastAsia="SimSun"/>
            <w:color w:val="auto"/>
            <w:sz w:val="28"/>
            <w:szCs w:val="28"/>
            <w:u w:val="none"/>
          </w:rPr>
          <w:t>м</w:t>
        </w:r>
        <w:r w:rsidRPr="00760CEE">
          <w:rPr>
            <w:rStyle w:val="Hyperlink"/>
            <w:rFonts w:eastAsia="SimSun"/>
            <w:color w:val="auto"/>
            <w:sz w:val="28"/>
            <w:szCs w:val="28"/>
            <w:u w:val="none"/>
          </w:rPr>
          <w:t xml:space="preserve"> ДНК</w:t>
        </w:r>
      </w:hyperlink>
      <w:r w:rsidRPr="00945DDF">
        <w:rPr>
          <w:rStyle w:val="apple-converted-space"/>
          <w:sz w:val="28"/>
          <w:szCs w:val="28"/>
        </w:rPr>
        <w:t xml:space="preserve"> сперматозоїдів,</w:t>
      </w:r>
      <w:r w:rsidRPr="00945DDF">
        <w:rPr>
          <w:rStyle w:val="notranslate"/>
          <w:sz w:val="28"/>
          <w:szCs w:val="28"/>
        </w:rPr>
        <w:t xml:space="preserve"> аномальними параметрами сперми і чоловічим непліддям</w:t>
      </w:r>
      <w:r w:rsidRPr="00426C4B">
        <w:rPr>
          <w:rStyle w:val="notranslate"/>
          <w:sz w:val="28"/>
          <w:szCs w:val="28"/>
        </w:rPr>
        <w:t xml:space="preserve"> </w:t>
      </w:r>
      <w:r>
        <w:rPr>
          <w:rStyle w:val="HTMLCite"/>
          <w:i w:val="0"/>
          <w:sz w:val="28"/>
          <w:szCs w:val="28"/>
        </w:rPr>
        <w:t>[10</w:t>
      </w:r>
      <w:r w:rsidRPr="00945DDF">
        <w:rPr>
          <w:rStyle w:val="HTMLCite"/>
          <w:i w:val="0"/>
          <w:sz w:val="28"/>
          <w:szCs w:val="28"/>
        </w:rPr>
        <w:t>,</w:t>
      </w:r>
      <w:r w:rsidRPr="00426C4B">
        <w:rPr>
          <w:rStyle w:val="HTMLCite"/>
          <w:i w:val="0"/>
          <w:sz w:val="28"/>
          <w:szCs w:val="28"/>
        </w:rPr>
        <w:t xml:space="preserve"> </w:t>
      </w:r>
      <w:r w:rsidRPr="00945DDF">
        <w:rPr>
          <w:rStyle w:val="HTMLCite"/>
          <w:i w:val="0"/>
          <w:sz w:val="28"/>
          <w:szCs w:val="28"/>
        </w:rPr>
        <w:t xml:space="preserve">11]. </w:t>
      </w:r>
      <w:r w:rsidRPr="0001169C">
        <w:rPr>
          <w:rStyle w:val="notranslate"/>
          <w:sz w:val="28"/>
          <w:szCs w:val="28"/>
        </w:rPr>
        <w:t>Ці дані свідчать про те, що пошкодження ДНК є важливим фактором чоловічого непліддя.</w:t>
      </w:r>
      <w:r w:rsidRPr="00945DDF">
        <w:rPr>
          <w:rStyle w:val="notranslate"/>
          <w:color w:val="252525"/>
          <w:sz w:val="28"/>
          <w:szCs w:val="28"/>
        </w:rPr>
        <w:t xml:space="preserve"> </w:t>
      </w:r>
    </w:p>
    <w:p w:rsidR="00DD2925" w:rsidRPr="00BE782B" w:rsidRDefault="00DD2925" w:rsidP="009E6CB8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5DDF">
        <w:rPr>
          <w:rStyle w:val="notranslate"/>
          <w:sz w:val="28"/>
          <w:szCs w:val="28"/>
        </w:rPr>
        <w:t xml:space="preserve">Тестикулярні фактори відносяться до умов, коли </w:t>
      </w:r>
      <w:r>
        <w:rPr>
          <w:rStyle w:val="notranslate"/>
          <w:sz w:val="28"/>
          <w:szCs w:val="28"/>
        </w:rPr>
        <w:t>сім’яники виробляють сперму мал</w:t>
      </w:r>
      <w:r w:rsidRPr="00945DDF">
        <w:rPr>
          <w:rStyle w:val="notranslate"/>
          <w:sz w:val="28"/>
          <w:szCs w:val="28"/>
        </w:rPr>
        <w:t>ої кількості і/або поганої якості, незважаючи на адекватну підтримку гормональної системи</w:t>
      </w:r>
      <w:r>
        <w:rPr>
          <w:rStyle w:val="notranslate"/>
          <w:sz w:val="28"/>
          <w:szCs w:val="28"/>
        </w:rPr>
        <w:t>.</w:t>
      </w:r>
      <w:r w:rsidRPr="00945DDF">
        <w:rPr>
          <w:rStyle w:val="notranslate"/>
          <w:sz w:val="28"/>
          <w:szCs w:val="28"/>
        </w:rPr>
        <w:t xml:space="preserve"> Це, ймовірно, спричиняє</w:t>
      </w:r>
      <w:r w:rsidRPr="00945DDF">
        <w:rPr>
          <w:sz w:val="28"/>
          <w:szCs w:val="28"/>
        </w:rPr>
        <w:t xml:space="preserve"> </w:t>
      </w:r>
      <w:r>
        <w:rPr>
          <w:rStyle w:val="notranslate"/>
          <w:sz w:val="28"/>
          <w:szCs w:val="28"/>
        </w:rPr>
        <w:t>чоловіче непліддя</w:t>
      </w:r>
      <w:r w:rsidRPr="00BE782B">
        <w:rPr>
          <w:rStyle w:val="notranslate"/>
          <w:sz w:val="28"/>
          <w:szCs w:val="28"/>
        </w:rPr>
        <w:t xml:space="preserve"> [</w:t>
      </w:r>
      <w:r>
        <w:rPr>
          <w:rStyle w:val="notranslate"/>
          <w:sz w:val="28"/>
          <w:szCs w:val="28"/>
        </w:rPr>
        <w:t>12</w:t>
      </w:r>
      <w:r w:rsidRPr="00BE782B">
        <w:rPr>
          <w:rStyle w:val="notranslate"/>
          <w:sz w:val="28"/>
          <w:szCs w:val="28"/>
        </w:rPr>
        <w:t>].</w:t>
      </w:r>
    </w:p>
    <w:p w:rsidR="00DD2925" w:rsidRPr="00776878" w:rsidRDefault="00DD2925" w:rsidP="004E6294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5DDF">
        <w:rPr>
          <w:rFonts w:ascii="Times New Roman" w:hAnsi="Times New Roman"/>
          <w:i/>
          <w:iCs/>
          <w:sz w:val="28"/>
          <w:szCs w:val="28"/>
        </w:rPr>
        <w:t xml:space="preserve">         </w:t>
      </w:r>
      <w:r w:rsidRPr="00945DDF">
        <w:rPr>
          <w:rFonts w:ascii="Times New Roman" w:hAnsi="Times New Roman"/>
          <w:sz w:val="28"/>
          <w:szCs w:val="28"/>
        </w:rPr>
        <w:t>Отже, при хронічних запальних процесах у сечостатевих органах спостерігається зниження практично всіх показників функціональної активності сперматозоїдів і зростання концентрації лейкоцитів у спермі.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 чином, </w:t>
      </w:r>
      <w:r w:rsidRPr="006F19CC">
        <w:rPr>
          <w:rFonts w:ascii="Times New Roman" w:hAnsi="Times New Roman"/>
          <w:sz w:val="28"/>
          <w:szCs w:val="28"/>
        </w:rPr>
        <w:t>порушення запліднювальної здатності сперматозоїдів</w:t>
      </w:r>
      <w:r>
        <w:rPr>
          <w:rFonts w:ascii="Times New Roman" w:hAnsi="Times New Roman"/>
          <w:sz w:val="28"/>
          <w:szCs w:val="28"/>
        </w:rPr>
        <w:t xml:space="preserve"> є одним із можливих наслідків дисбалансу ряду показників досліджуваних еякулятів.</w:t>
      </w:r>
    </w:p>
    <w:p w:rsidR="00DD2925" w:rsidRPr="00776878" w:rsidRDefault="00DD2925" w:rsidP="004E6294">
      <w:pPr>
        <w:tabs>
          <w:tab w:val="left" w:pos="0"/>
        </w:tabs>
        <w:spacing w:after="0" w:line="360" w:lineRule="auto"/>
        <w:jc w:val="both"/>
      </w:pPr>
    </w:p>
    <w:p w:rsidR="00DD2925" w:rsidRPr="007340B2" w:rsidRDefault="00DD2925" w:rsidP="00776878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340B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D2925" w:rsidRPr="00802774" w:rsidRDefault="00DD2925" w:rsidP="004205AC">
      <w:pPr>
        <w:pStyle w:val="1"/>
        <w:widowControl w:val="0"/>
        <w:numPr>
          <w:ilvl w:val="0"/>
          <w:numId w:val="1"/>
        </w:numPr>
        <w:tabs>
          <w:tab w:val="left" w:pos="420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</w:pP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Воробець Д.З. Неплідність та еректильна дисфункція чоловіків: біохімічні та клінічні аспекти / Д.З. Воробець, Н.С. Кочешкова. – Тернопіль: Укрмедкнига, 2008. – 204 с. </w:t>
      </w:r>
    </w:p>
    <w:p w:rsidR="00DD2925" w:rsidRPr="00802774" w:rsidRDefault="00DD2925" w:rsidP="004205AC">
      <w:pPr>
        <w:pStyle w:val="12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802774">
        <w:rPr>
          <w:rFonts w:ascii="Times New Roman" w:hAnsi="Times New Roman" w:cs="Times New Roman"/>
          <w:sz w:val="28"/>
          <w:szCs w:val="28"/>
          <w:lang w:val="en-GB"/>
        </w:rPr>
        <w:t>Aitken</w:t>
      </w:r>
      <w:r w:rsidRPr="008027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>R</w:t>
      </w:r>
      <w:r w:rsidRPr="008027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>J. Redox regulation of human sperm function: from the physiological control of sperm capacitation to the etiology of infertility and DNA damage in the germ line / R</w:t>
      </w:r>
      <w:r w:rsidRPr="008027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>J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 xml:space="preserve"> Aitken,</w:t>
      </w:r>
      <w:r w:rsidRPr="008027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>Benjamin J.C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 xml:space="preserve"> // Antioxidants &amp; Redox Signaling. February 1. </w:t>
      </w:r>
      <w:r w:rsidRPr="00802774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 xml:space="preserve"> 2011. </w:t>
      </w:r>
      <w:r w:rsidRPr="00802774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774">
        <w:rPr>
          <w:rFonts w:ascii="Times New Roman" w:hAnsi="Times New Roman" w:cs="Times New Roman"/>
          <w:sz w:val="28"/>
          <w:szCs w:val="28"/>
          <w:lang w:val="en-US"/>
        </w:rPr>
        <w:t>V.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>14, 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 xml:space="preserve">3. </w:t>
      </w:r>
      <w:r w:rsidRPr="00802774">
        <w:rPr>
          <w:rFonts w:ascii="Times New Roman" w:hAnsi="Times New Roman" w:cs="Times New Roman"/>
          <w:sz w:val="28"/>
          <w:szCs w:val="28"/>
          <w:lang w:val="en-US"/>
        </w:rPr>
        <w:t>– P.</w:t>
      </w:r>
      <w:r w:rsidRPr="00802774">
        <w:rPr>
          <w:rFonts w:ascii="Times New Roman" w:hAnsi="Times New Roman" w:cs="Times New Roman"/>
          <w:sz w:val="28"/>
          <w:szCs w:val="28"/>
          <w:lang w:val="en-GB"/>
        </w:rPr>
        <w:t xml:space="preserve"> 367–381.</w:t>
      </w:r>
    </w:p>
    <w:p w:rsidR="00DD2925" w:rsidRPr="005313AD" w:rsidRDefault="00DD2925" w:rsidP="004205AC">
      <w:pPr>
        <w:pStyle w:val="1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</w:pP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Haidl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G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.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Management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strategies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for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male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factor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infertility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/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G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.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Haidl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//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Drugs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– 2002. –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. 62,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N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12. –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P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. 1741–1753. </w:t>
      </w:r>
    </w:p>
    <w:p w:rsidR="00DD2925" w:rsidRPr="00FE5F3A" w:rsidRDefault="00DD2925" w:rsidP="00751210">
      <w:pPr>
        <w:pStyle w:val="1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</w:pP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World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Health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Organization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. </w:t>
      </w:r>
      <w:r w:rsidRPr="004205AC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WHO laboratory manual for the examination and processing of human semen. 5th ed. Geneva: World Health Organization Press. – 2010. – 215p.</w:t>
      </w:r>
    </w:p>
    <w:p w:rsidR="00DD2925" w:rsidRPr="00FE5F3A" w:rsidRDefault="00DD2925" w:rsidP="00FE5F3A">
      <w:pPr>
        <w:pStyle w:val="ListParagraph1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</w:pPr>
      <w:r w:rsidRPr="00FE5F3A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Spontaneous variation of leukocytospermia in asymptomatic infertile males / J.E. Lackner, E. Lakovic, T. Waldhor [et al.] // Fertil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. Steril. – 2008. – V. 90, N </w:t>
      </w:r>
      <w:r w:rsidRPr="00FE5F3A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5. − 1757–1760.</w:t>
      </w:r>
    </w:p>
    <w:p w:rsidR="00DD2925" w:rsidRPr="005313AD" w:rsidRDefault="00DD2925" w:rsidP="00FE5F3A">
      <w:pPr>
        <w:pStyle w:val="ListParagraph1"/>
        <w:widowControl w:val="0"/>
        <w:numPr>
          <w:ilvl w:val="0"/>
          <w:numId w:val="1"/>
        </w:numPr>
        <w:tabs>
          <w:tab w:val="left" w:pos="420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</w:pP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</w:rPr>
        <w:t>Барабой В.А. Биоантиоксидантная защита. Биоантиоксиданты, синтезируемые в организме / В.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</w:rPr>
        <w:t>А.</w:t>
      </w:r>
      <w:r w:rsidRPr="004E6294">
        <w:rPr>
          <w:rFonts w:ascii="Times New Roman" w:hAnsi="Times New Roman" w:cs="Times New Roman"/>
          <w:spacing w:val="-4"/>
          <w:position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</w:rPr>
        <w:t xml:space="preserve">Барабой // Биоантиоксиданты.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</w:rPr>
        <w:t>– К.: Книга плюс.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</w:rPr>
        <w:t xml:space="preserve">– 2006. – С. 180–282. </w:t>
      </w:r>
    </w:p>
    <w:p w:rsidR="00DD2925" w:rsidRPr="00FE5F3A" w:rsidRDefault="00DD2925" w:rsidP="00FE5F3A">
      <w:pPr>
        <w:pStyle w:val="ListParagraph1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</w:pP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Agarwal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 xml:space="preserve">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A. Role of reactive oxygen species in the pathophysiology of human reproduction / A</w:t>
      </w:r>
      <w:r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. 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Agarwal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 xml:space="preserve">,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R.A. Saleh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 xml:space="preserve">,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M.A. Bedaiwy //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 xml:space="preserve">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Fertil</w:t>
      </w:r>
      <w:r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.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Steril. – 2003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.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−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V.79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.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−</w:t>
      </w:r>
      <w:r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 xml:space="preserve"> 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>P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.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829–843</w:t>
      </w:r>
      <w:r w:rsidRPr="00FE5F3A">
        <w:rPr>
          <w:rFonts w:ascii="Times New Roman" w:hAnsi="Times New Roman" w:cs="Times New Roman"/>
          <w:spacing w:val="-20"/>
          <w:position w:val="2"/>
          <w:sz w:val="28"/>
          <w:szCs w:val="28"/>
          <w:lang w:val="uk-UA"/>
        </w:rPr>
        <w:t>.</w:t>
      </w:r>
    </w:p>
    <w:p w:rsidR="00DD2925" w:rsidRPr="00741C43" w:rsidRDefault="00DD2925" w:rsidP="00BE782B">
      <w:pPr>
        <w:pStyle w:val="ListParagraph1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</w:pP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Investigating ROS sources in male infertility: a common end for numerous pathways. G. Lavra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nos, M. Balla, A. Tzortzopoulou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[et al.] // Reprod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.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Toxicol. – 2012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.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−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V. 34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.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−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P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.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298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>−</w:t>
      </w:r>
      <w:r w:rsidRPr="00741C43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307.</w:t>
      </w:r>
    </w:p>
    <w:p w:rsidR="00DD2925" w:rsidRPr="005313AD" w:rsidRDefault="00DD2925" w:rsidP="00BE782B">
      <w:pPr>
        <w:pStyle w:val="NormalWeb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 w:line="336" w:lineRule="auto"/>
        <w:ind w:left="0" w:firstLine="0"/>
        <w:jc w:val="both"/>
        <w:rPr>
          <w:rStyle w:val="HTMLCite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</w:pPr>
      <w:r w:rsidRPr="005313AD">
        <w:rPr>
          <w:rStyle w:val="HTMLCite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The effects of male age on sperm analysis by motile sperm organelle morphology examination (MSOME) / L.F. Silv</w:t>
      </w:r>
      <w:r>
        <w:rPr>
          <w:rStyle w:val="HTMLCite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a, J.B. Oliveira, C.G. Petersen</w:t>
      </w:r>
      <w:r w:rsidRPr="005313AD">
        <w:rPr>
          <w:rStyle w:val="HTMLCite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[et al.] //</w:t>
      </w:r>
      <w:r w:rsidRPr="005313AD">
        <w:rPr>
          <w:rStyle w:val="HTMLCite"/>
          <w:i w:val="0"/>
          <w:spacing w:val="-4"/>
          <w:position w:val="-6"/>
          <w:sz w:val="28"/>
          <w:szCs w:val="28"/>
          <w:shd w:val="clear" w:color="auto" w:fill="FFFFFF"/>
        </w:rPr>
        <w:t xml:space="preserve">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>Reprod</w:t>
      </w:r>
      <w:r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>.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Biol Endocrinol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.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−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2012.</w:t>
      </w:r>
      <w:r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 xml:space="preserve">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−</w:t>
      </w:r>
      <w:r w:rsidRPr="005313AD">
        <w:rPr>
          <w:rStyle w:val="apple-converted-space"/>
          <w:i/>
          <w:iCs/>
          <w:color w:val="252525"/>
          <w:spacing w:val="-4"/>
          <w:position w:val="-6"/>
          <w:sz w:val="28"/>
          <w:szCs w:val="28"/>
          <w:shd w:val="clear" w:color="auto" w:fill="FFFFFF"/>
        </w:rPr>
        <w:t xml:space="preserve"> </w:t>
      </w:r>
      <w:r w:rsidRPr="005313AD">
        <w:rPr>
          <w:rStyle w:val="apple-converted-space"/>
          <w:iCs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V.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10.</w:t>
      </w:r>
      <w:r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 xml:space="preserve">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 xml:space="preserve">− 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  <w:lang w:val="en-US"/>
        </w:rPr>
        <w:t>P</w:t>
      </w:r>
      <w:r w:rsidRPr="005313AD">
        <w:rPr>
          <w:rStyle w:val="HTMLCite"/>
          <w:i w:val="0"/>
          <w:color w:val="252525"/>
          <w:spacing w:val="-4"/>
          <w:position w:val="-6"/>
          <w:sz w:val="28"/>
          <w:szCs w:val="28"/>
          <w:shd w:val="clear" w:color="auto" w:fill="FFFFFF"/>
        </w:rPr>
        <w:t>.19.</w:t>
      </w:r>
    </w:p>
    <w:p w:rsidR="00DD2925" w:rsidRPr="00741C43" w:rsidRDefault="00DD2925" w:rsidP="00BE782B">
      <w:pPr>
        <w:pStyle w:val="ListParagraph1"/>
        <w:numPr>
          <w:ilvl w:val="0"/>
          <w:numId w:val="1"/>
        </w:numPr>
        <w:tabs>
          <w:tab w:val="left" w:pos="426"/>
        </w:tabs>
        <w:spacing w:after="0" w:line="336" w:lineRule="auto"/>
        <w:ind w:left="0" w:firstLine="0"/>
        <w:jc w:val="both"/>
        <w:rPr>
          <w:rStyle w:val="HTMLCite"/>
          <w:rFonts w:ascii="Times New Roman" w:hAnsi="Times New Roman"/>
          <w:iCs/>
          <w:spacing w:val="-20"/>
          <w:position w:val="2"/>
          <w:sz w:val="28"/>
          <w:szCs w:val="28"/>
          <w:lang w:val="en-US"/>
        </w:rPr>
      </w:pP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Aberrant sperm DNA methylation predicts male fertility status and embryo quality</w:t>
      </w:r>
      <w:r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uk-UA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/ K. I. Aston,</w:t>
      </w:r>
      <w:r w:rsidRPr="00F234BC">
        <w:rPr>
          <w:rStyle w:val="apple-converted-space"/>
          <w:rFonts w:ascii="Times New Roman" w:hAnsi="Times New Roman" w:cs="Times New Roman"/>
          <w:i/>
          <w:iCs/>
          <w:spacing w:val="-20"/>
          <w:position w:val="2"/>
          <w:sz w:val="28"/>
          <w:szCs w:val="28"/>
          <w:lang w:val="en-US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P.J. Uren,</w:t>
      </w:r>
      <w:r w:rsidRPr="00F234BC">
        <w:rPr>
          <w:rStyle w:val="apple-converted-space"/>
          <w:rFonts w:ascii="Times New Roman" w:hAnsi="Times New Roman" w:cs="Times New Roman"/>
          <w:spacing w:val="-20"/>
          <w:position w:val="2"/>
          <w:sz w:val="28"/>
          <w:szCs w:val="28"/>
          <w:lang w:val="en-US"/>
        </w:rPr>
        <w:t xml:space="preserve"> </w:t>
      </w:r>
      <w:r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T.G. Jenkins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 xml:space="preserve"> [at al.] // Fertility and Sterility.</w:t>
      </w:r>
      <w:r w:rsidRPr="00F234BC">
        <w:rPr>
          <w:rStyle w:val="apple-converted-space"/>
          <w:rFonts w:ascii="Times New Roman" w:hAnsi="Times New Roman" w:cs="Times New Roman"/>
          <w:i/>
          <w:iCs/>
          <w:spacing w:val="-20"/>
          <w:position w:val="2"/>
          <w:sz w:val="28"/>
          <w:szCs w:val="28"/>
          <w:lang w:val="en-US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− 2015. –</w:t>
      </w:r>
      <w:r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uk-UA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V</w:t>
      </w:r>
      <w:r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uk-UA"/>
        </w:rPr>
        <w:t>.</w:t>
      </w:r>
      <w:r w:rsidRPr="00F234BC">
        <w:rPr>
          <w:rStyle w:val="apple-converted-space"/>
          <w:rFonts w:ascii="Times New Roman" w:hAnsi="Times New Roman" w:cs="Times New Roman"/>
          <w:i/>
          <w:iCs/>
          <w:spacing w:val="-20"/>
          <w:position w:val="2"/>
          <w:sz w:val="28"/>
          <w:szCs w:val="28"/>
          <w:lang w:val="en-US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104,</w:t>
      </w:r>
      <w:r w:rsidRPr="00F234BC">
        <w:rPr>
          <w:rStyle w:val="apple-converted-space"/>
          <w:rFonts w:ascii="Times New Roman" w:hAnsi="Times New Roman" w:cs="Times New Roman"/>
          <w:i/>
          <w:iCs/>
          <w:spacing w:val="-20"/>
          <w:position w:val="2"/>
          <w:sz w:val="28"/>
          <w:szCs w:val="28"/>
          <w:lang w:val="en-US"/>
        </w:rPr>
        <w:t xml:space="preserve"> </w:t>
      </w:r>
      <w:r w:rsidRPr="00F234BC">
        <w:rPr>
          <w:rStyle w:val="HTMLCite"/>
          <w:rFonts w:ascii="Times New Roman" w:hAnsi="Times New Roman"/>
          <w:i w:val="0"/>
          <w:spacing w:val="-20"/>
          <w:position w:val="2"/>
          <w:sz w:val="28"/>
          <w:szCs w:val="28"/>
          <w:lang w:val="en-US"/>
        </w:rPr>
        <w:t>N 6. − P. 1388–1397.</w:t>
      </w:r>
    </w:p>
    <w:p w:rsidR="00DD2925" w:rsidRPr="00741C43" w:rsidRDefault="00DD2925" w:rsidP="00BE782B">
      <w:pPr>
        <w:pStyle w:val="ListParagraph1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36" w:lineRule="auto"/>
        <w:ind w:left="0" w:firstLine="0"/>
        <w:jc w:val="both"/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</w:pP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Epigenetics and its role in male infertility /</w:t>
      </w:r>
      <w:r w:rsidRPr="005313AD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R. Dada, M. Kumar, R. Jesudasan [et al.]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// J.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Assist.</w:t>
      </w:r>
      <w:r w:rsidRPr="005313AD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Reprod.</w:t>
      </w:r>
      <w:r w:rsidRPr="005313AD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Genet. − 2012.</w:t>
      </w:r>
      <w:r w:rsidRPr="005313AD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– V.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en-US"/>
        </w:rPr>
        <w:t>29. − P. 213–223.</w:t>
      </w:r>
    </w:p>
    <w:p w:rsidR="00DD2925" w:rsidRPr="007340B2" w:rsidRDefault="00DD2925" w:rsidP="007340B2">
      <w:pPr>
        <w:pStyle w:val="12"/>
        <w:numPr>
          <w:ilvl w:val="0"/>
          <w:numId w:val="1"/>
        </w:num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left="0" w:firstLine="0"/>
        <w:jc w:val="both"/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lang w:val="uk-UA"/>
        </w:rPr>
      </w:pPr>
      <w:r w:rsidRPr="00BE782B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Kupis Ł. </w:t>
      </w:r>
      <w:hyperlink r:id="rId6" w:history="1">
        <w:r w:rsidRPr="00BE782B">
          <w:rPr>
            <w:rStyle w:val="Hyperlink"/>
            <w:rFonts w:ascii="Times New Roman" w:hAnsi="Times New Roman" w:cs="Calibri"/>
            <w:color w:val="auto"/>
            <w:spacing w:val="-4"/>
            <w:position w:val="-6"/>
            <w:sz w:val="28"/>
            <w:szCs w:val="28"/>
            <w:u w:val="none"/>
            <w:shd w:val="clear" w:color="auto" w:fill="FFFFFF"/>
            <w:lang w:val="en-US"/>
          </w:rPr>
          <w:t xml:space="preserve">Varicocele as a source of male infertility </w:t>
        </w:r>
        <w:r w:rsidRPr="00BE782B">
          <w:rPr>
            <w:rFonts w:ascii="Times New Roman" w:hAnsi="Times New Roman" w:cs="Times New Roman"/>
            <w:spacing w:val="-4"/>
            <w:position w:val="-6"/>
            <w:sz w:val="28"/>
            <w:szCs w:val="28"/>
            <w:lang w:val="en-US"/>
          </w:rPr>
          <w:t>–</w:t>
        </w:r>
        <w:r w:rsidRPr="00BE782B">
          <w:rPr>
            <w:rStyle w:val="Hyperlink"/>
            <w:rFonts w:ascii="Times New Roman" w:hAnsi="Times New Roman" w:cs="Calibri"/>
            <w:color w:val="auto"/>
            <w:spacing w:val="-4"/>
            <w:position w:val="-6"/>
            <w:sz w:val="28"/>
            <w:szCs w:val="28"/>
            <w:u w:val="none"/>
            <w:shd w:val="clear" w:color="auto" w:fill="FFFFFF"/>
            <w:lang w:val="en-US"/>
          </w:rPr>
          <w:t xml:space="preserve"> current treatment techniques</w:t>
        </w:r>
      </w:hyperlink>
      <w:r w:rsidRPr="00BE782B">
        <w:rPr>
          <w:rStyle w:val="HTMLCite"/>
          <w:rFonts w:ascii="Times New Roman" w:hAnsi="Times New Roman"/>
          <w:iCs/>
          <w:spacing w:val="-4"/>
          <w:position w:val="-6"/>
          <w:sz w:val="28"/>
          <w:szCs w:val="28"/>
          <w:lang w:val="en-US"/>
        </w:rPr>
        <w:t xml:space="preserve"> </w:t>
      </w:r>
      <w:r w:rsidRPr="00BE782B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shd w:val="clear" w:color="auto" w:fill="FFFFFF"/>
          <w:lang w:val="en-US"/>
        </w:rPr>
        <w:t>/</w:t>
      </w:r>
      <w:r w:rsidRPr="005313AD">
        <w:rPr>
          <w:rStyle w:val="apple-converted-space"/>
          <w:rFonts w:ascii="Times New Roman" w:hAnsi="Times New Roman" w:cs="Times New Roman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Ł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. 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Kupis, P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>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A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>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Dobroński, P. Radziszewski //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Cent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European J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 Urol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(Review).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–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2015.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 –</w:t>
      </w:r>
      <w:r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  <w:t xml:space="preserve">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>V.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 xml:space="preserve">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 xml:space="preserve">68, N 3. </w:t>
      </w:r>
      <w:r w:rsidRPr="005313AD">
        <w:rPr>
          <w:rFonts w:ascii="Times New Roman" w:hAnsi="Times New Roman" w:cs="Times New Roman"/>
          <w:spacing w:val="-4"/>
          <w:position w:val="-6"/>
          <w:sz w:val="28"/>
          <w:szCs w:val="28"/>
          <w:lang w:val="en-US"/>
        </w:rPr>
        <w:t xml:space="preserve">– 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365–</w:t>
      </w:r>
      <w:r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3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en-US"/>
        </w:rPr>
        <w:t>70</w:t>
      </w:r>
      <w:r w:rsidRPr="005313AD">
        <w:rPr>
          <w:rStyle w:val="HTMLCite"/>
          <w:rFonts w:ascii="Times New Roman" w:hAnsi="Times New Roman"/>
          <w:i w:val="0"/>
          <w:spacing w:val="-4"/>
          <w:position w:val="-6"/>
          <w:sz w:val="28"/>
          <w:szCs w:val="28"/>
          <w:shd w:val="clear" w:color="auto" w:fill="FFFFFF"/>
          <w:lang w:val="uk-UA"/>
        </w:rPr>
        <w:t>.</w:t>
      </w:r>
    </w:p>
    <w:p w:rsidR="00DD2925" w:rsidRDefault="00DD2925" w:rsidP="007340B2">
      <w:pPr>
        <w:pStyle w:val="12"/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left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</w:pPr>
    </w:p>
    <w:p w:rsidR="00DD2925" w:rsidRPr="00D93F62" w:rsidRDefault="00DD2925" w:rsidP="007340B2">
      <w:pPr>
        <w:pStyle w:val="12"/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left="0"/>
        <w:jc w:val="both"/>
        <w:rPr>
          <w:rFonts w:ascii="Times New Roman" w:hAnsi="Times New Roman" w:cs="Times New Roman"/>
          <w:spacing w:val="-4"/>
          <w:position w:val="-6"/>
          <w:sz w:val="28"/>
          <w:szCs w:val="28"/>
          <w:lang w:val="uk-UA"/>
        </w:rPr>
      </w:pPr>
    </w:p>
    <w:sectPr w:rsidR="00DD2925" w:rsidRPr="00D93F62" w:rsidSect="00765E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9101B"/>
    <w:multiLevelType w:val="hybridMultilevel"/>
    <w:tmpl w:val="2140D752"/>
    <w:lvl w:ilvl="0" w:tplc="FAFAD8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863"/>
    <w:rsid w:val="0001169C"/>
    <w:rsid w:val="000D147A"/>
    <w:rsid w:val="00112334"/>
    <w:rsid w:val="001C686E"/>
    <w:rsid w:val="001F485D"/>
    <w:rsid w:val="00227CF6"/>
    <w:rsid w:val="00274C5E"/>
    <w:rsid w:val="00293638"/>
    <w:rsid w:val="00302FCF"/>
    <w:rsid w:val="003701EE"/>
    <w:rsid w:val="004205AC"/>
    <w:rsid w:val="00426C4B"/>
    <w:rsid w:val="00460357"/>
    <w:rsid w:val="004938FA"/>
    <w:rsid w:val="004B0DA7"/>
    <w:rsid w:val="004B121A"/>
    <w:rsid w:val="004C1ED1"/>
    <w:rsid w:val="004E6294"/>
    <w:rsid w:val="00521486"/>
    <w:rsid w:val="00525164"/>
    <w:rsid w:val="005313AD"/>
    <w:rsid w:val="00543208"/>
    <w:rsid w:val="00550EA0"/>
    <w:rsid w:val="00573863"/>
    <w:rsid w:val="005D6B86"/>
    <w:rsid w:val="00604717"/>
    <w:rsid w:val="006A35F7"/>
    <w:rsid w:val="006F19CC"/>
    <w:rsid w:val="006F72AF"/>
    <w:rsid w:val="007340B2"/>
    <w:rsid w:val="00741C43"/>
    <w:rsid w:val="00751210"/>
    <w:rsid w:val="00760CEE"/>
    <w:rsid w:val="00765E88"/>
    <w:rsid w:val="00776878"/>
    <w:rsid w:val="00802774"/>
    <w:rsid w:val="0086391B"/>
    <w:rsid w:val="00881FF6"/>
    <w:rsid w:val="00891835"/>
    <w:rsid w:val="008D341A"/>
    <w:rsid w:val="008F09C2"/>
    <w:rsid w:val="00935474"/>
    <w:rsid w:val="00945DDF"/>
    <w:rsid w:val="009E50B9"/>
    <w:rsid w:val="009E6CB8"/>
    <w:rsid w:val="00A2014C"/>
    <w:rsid w:val="00A2443E"/>
    <w:rsid w:val="00B71C46"/>
    <w:rsid w:val="00BD152A"/>
    <w:rsid w:val="00BE782B"/>
    <w:rsid w:val="00C35161"/>
    <w:rsid w:val="00C65430"/>
    <w:rsid w:val="00C83883"/>
    <w:rsid w:val="00D84E00"/>
    <w:rsid w:val="00D93F62"/>
    <w:rsid w:val="00DA7E71"/>
    <w:rsid w:val="00DD2925"/>
    <w:rsid w:val="00DF3118"/>
    <w:rsid w:val="00E4334C"/>
    <w:rsid w:val="00E80000"/>
    <w:rsid w:val="00F16292"/>
    <w:rsid w:val="00F234BC"/>
    <w:rsid w:val="00F54F5D"/>
    <w:rsid w:val="00F845A3"/>
    <w:rsid w:val="00FE2AC4"/>
    <w:rsid w:val="00FE5F3A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HTML Cit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17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FE2AC4"/>
    <w:pPr>
      <w:suppressAutoHyphens/>
      <w:spacing w:after="160" w:line="360" w:lineRule="auto"/>
      <w:ind w:right="-694" w:firstLine="900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2AC4"/>
    <w:rPr>
      <w:rFonts w:ascii="Times New Roman" w:eastAsia="Times New Roman" w:hAnsi="Times New Roman" w:cs="Times New Roman"/>
      <w:sz w:val="28"/>
      <w:szCs w:val="28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FE2AC4"/>
    <w:pPr>
      <w:spacing w:after="160" w:line="360" w:lineRule="auto"/>
      <w:ind w:right="-694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2A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у1"/>
    <w:basedOn w:val="Normal"/>
    <w:uiPriority w:val="99"/>
    <w:rsid w:val="00802774"/>
    <w:pPr>
      <w:spacing w:after="160" w:line="312" w:lineRule="auto"/>
      <w:ind w:left="720"/>
    </w:pPr>
    <w:rPr>
      <w:rFonts w:cs="Calibri"/>
      <w:sz w:val="21"/>
      <w:szCs w:val="21"/>
      <w:lang w:val="ru-RU" w:eastAsia="ru-RU"/>
    </w:rPr>
  </w:style>
  <w:style w:type="paragraph" w:customStyle="1" w:styleId="12">
    <w:name w:val="Абзац списка12"/>
    <w:basedOn w:val="Normal"/>
    <w:uiPriority w:val="99"/>
    <w:rsid w:val="00802774"/>
    <w:pPr>
      <w:spacing w:after="160" w:line="312" w:lineRule="auto"/>
      <w:ind w:left="720"/>
    </w:pPr>
    <w:rPr>
      <w:rFonts w:eastAsia="Times New Roman" w:cs="Calibri"/>
      <w:sz w:val="21"/>
      <w:szCs w:val="21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550EA0"/>
    <w:pPr>
      <w:spacing w:after="160" w:line="312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50EA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293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293638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60CEE"/>
  </w:style>
  <w:style w:type="character" w:customStyle="1" w:styleId="notranslate">
    <w:name w:val="notranslate"/>
    <w:uiPriority w:val="99"/>
    <w:rsid w:val="00760CEE"/>
  </w:style>
  <w:style w:type="character" w:styleId="HTMLCite">
    <w:name w:val="HTML Cite"/>
    <w:basedOn w:val="DefaultParagraphFont"/>
    <w:uiPriority w:val="99"/>
    <w:rsid w:val="00760CEE"/>
    <w:rPr>
      <w:rFonts w:cs="Times New Roman"/>
      <w:i/>
    </w:rPr>
  </w:style>
  <w:style w:type="paragraph" w:customStyle="1" w:styleId="ListParagraph1">
    <w:name w:val="List Paragraph1"/>
    <w:basedOn w:val="Normal"/>
    <w:uiPriority w:val="99"/>
    <w:rsid w:val="00FE5F3A"/>
    <w:pPr>
      <w:spacing w:after="160" w:line="312" w:lineRule="auto"/>
      <w:ind w:left="720"/>
    </w:pPr>
    <w:rPr>
      <w:rFonts w:cs="Calibri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63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nslate.googleusercontent.com/translate_c?anno=2&amp;depth=1&amp;hl=uk&amp;rurl=translate.google.com.ua&amp;sl=en&amp;tl=uk&amp;u=https://www.ncbi.nlm.nih.gov/pmc/articles/PMC4643713&amp;usg=ALkJrhjg5hestRymxMbH0npithHKXW9L9w" TargetMode="External"/><Relationship Id="rId5" Type="http://schemas.openxmlformats.org/officeDocument/2006/relationships/hyperlink" Target="https://translate.googleusercontent.com/translate_c?depth=1&amp;hl=uk&amp;rurl=translate.google.com.ua&amp;sl=en&amp;tl=uk&amp;u=https://en.wikipedia.org/wiki/DNA_methylation&amp;usg=ALkJrhjdQQ-1TUTXNtu6x7_NM3GJ7ALL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445</TotalTime>
  <Pages>6</Pages>
  <Words>6544</Words>
  <Characters>3731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2019-02-25T16:09:00Z</dcterms:created>
  <dcterms:modified xsi:type="dcterms:W3CDTF">2019-02-26T19:14:00Z</dcterms:modified>
</cp:coreProperties>
</file>