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71" w:rsidRPr="0012286D" w:rsidRDefault="00702171" w:rsidP="00134CDC">
      <w:pPr>
        <w:ind w:firstLine="851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2286D">
        <w:rPr>
          <w:rFonts w:ascii="Times New Roman" w:hAnsi="Times New Roman"/>
          <w:b/>
          <w:sz w:val="28"/>
          <w:szCs w:val="28"/>
          <w:lang w:val="uk-UA"/>
        </w:rPr>
        <w:t>Оксана Гоженко</w:t>
      </w:r>
    </w:p>
    <w:p w:rsidR="00702171" w:rsidRDefault="00702171" w:rsidP="00134CDC">
      <w:pPr>
        <w:ind w:firstLine="851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2286D">
        <w:rPr>
          <w:rFonts w:ascii="Times New Roman" w:hAnsi="Times New Roman"/>
          <w:b/>
          <w:sz w:val="28"/>
          <w:szCs w:val="28"/>
          <w:lang w:val="uk-UA"/>
        </w:rPr>
        <w:t>(Мирогоща, Україна)</w:t>
      </w:r>
    </w:p>
    <w:p w:rsidR="00702171" w:rsidRDefault="00702171" w:rsidP="00134CDC">
      <w:pPr>
        <w:spacing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2171" w:rsidRPr="0012286D" w:rsidRDefault="00702171" w:rsidP="00134CDC">
      <w:pPr>
        <w:spacing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2286D">
        <w:rPr>
          <w:rFonts w:ascii="Times New Roman" w:hAnsi="Times New Roman"/>
          <w:b/>
          <w:sz w:val="28"/>
          <w:szCs w:val="28"/>
          <w:lang w:val="uk-UA"/>
        </w:rPr>
        <w:t>ЕФЕКТИВНІСТЬ  ВИКОРИСТАННЯ СІЛЬСЬКОГОСПОДАРСЬКИХ УГІДЬ В УМОВАХ РЕАЛІЗАЦІЇ ЗЕМЕЛЬНОЇ РЕФОРМИ</w:t>
      </w:r>
    </w:p>
    <w:p w:rsidR="00702171" w:rsidRPr="00DE4F2E" w:rsidRDefault="00702171" w:rsidP="00134CDC">
      <w:pPr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2171" w:rsidRPr="00C87DFF" w:rsidRDefault="00702171" w:rsidP="00134CD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87DFF">
        <w:rPr>
          <w:rFonts w:ascii="Times New Roman" w:hAnsi="Times New Roman"/>
          <w:sz w:val="28"/>
          <w:szCs w:val="28"/>
          <w:lang w:val="uk-UA"/>
        </w:rPr>
        <w:t>Земельна реформа яка відбувається в Україні має сприяти забезпеченню якісно нового стану використання земель суб'єктами підприємництва у сільському господарстві Вона є одним із пріоритетних напрямів “Єдиної комплексної стратегії розвитку сільського господарства й сільських територій в Україні на 2015–2020 роки”, “Середньострокового плану пріоритетних дій Уряду до 2020 року”,  затверджених Розпорядженням Кабінету Міністрів України від 3 квітня 2017 р. № 275-р. Головною метою земельної реформи є створення повноцінного ринку земель сільськогосподарського призначення, удосконалення ринку оренди землі, забезпечення відкритої і прозорої оренди державних і комунальних земель, вдосконалення кадастрово-реєстраційної системи.</w:t>
      </w:r>
    </w:p>
    <w:p w:rsidR="00702171" w:rsidRPr="00C87DFF" w:rsidRDefault="00702171" w:rsidP="00134C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87DFF">
        <w:rPr>
          <w:rFonts w:ascii="Times New Roman" w:hAnsi="Times New Roman"/>
          <w:sz w:val="28"/>
          <w:szCs w:val="28"/>
          <w:lang w:val="uk-UA" w:eastAsia="ru-RU"/>
        </w:rPr>
        <w:t xml:space="preserve">В ході формування ефективної організаційно-економічної системи використання земель </w:t>
      </w:r>
      <w:r w:rsidRPr="00DF300A">
        <w:rPr>
          <w:rFonts w:ascii="Times New Roman" w:hAnsi="Times New Roman"/>
          <w:sz w:val="28"/>
          <w:szCs w:val="28"/>
          <w:lang w:val="uk-UA" w:eastAsia="ru-RU"/>
        </w:rPr>
        <w:t>зроблено чимало помилок та упущень</w:t>
      </w:r>
      <w:r w:rsidRPr="00C87DFF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Недостатньо приділена увага питанням збереження та </w:t>
      </w:r>
      <w:r w:rsidRPr="00C87DFF">
        <w:rPr>
          <w:rFonts w:ascii="Times New Roman" w:hAnsi="Times New Roman"/>
          <w:sz w:val="28"/>
          <w:szCs w:val="28"/>
          <w:lang w:val="uk-UA" w:eastAsia="ru-RU"/>
        </w:rPr>
        <w:t>підвищення родючості землі, як основи економічної ефективності її використання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702171" w:rsidRDefault="00702171" w:rsidP="00134CD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87DFF">
        <w:rPr>
          <w:rFonts w:ascii="Times New Roman" w:hAnsi="Times New Roman"/>
          <w:sz w:val="28"/>
          <w:szCs w:val="28"/>
          <w:lang w:val="uk-UA"/>
        </w:rPr>
        <w:t>Варто зазначити, що реформування земельних відносин, зміна форм власност</w:t>
      </w:r>
      <w:r>
        <w:rPr>
          <w:rFonts w:ascii="Times New Roman" w:hAnsi="Times New Roman"/>
          <w:sz w:val="28"/>
          <w:szCs w:val="28"/>
          <w:lang w:val="uk-UA"/>
        </w:rPr>
        <w:t xml:space="preserve">і й господарювання на землі </w:t>
      </w:r>
      <w:r w:rsidRPr="00C87DFF">
        <w:rPr>
          <w:rFonts w:ascii="Times New Roman" w:hAnsi="Times New Roman"/>
          <w:sz w:val="28"/>
          <w:szCs w:val="28"/>
          <w:lang w:val="uk-UA"/>
        </w:rPr>
        <w:t>не привели до поліпшення використання з</w:t>
      </w:r>
      <w:r>
        <w:rPr>
          <w:rFonts w:ascii="Times New Roman" w:hAnsi="Times New Roman"/>
          <w:sz w:val="28"/>
          <w:szCs w:val="28"/>
          <w:lang w:val="uk-UA"/>
        </w:rPr>
        <w:t>емель, суттєвого підвищення їх економічної ефективності. С</w:t>
      </w:r>
      <w:r w:rsidRPr="00C87DFF">
        <w:rPr>
          <w:rFonts w:ascii="Times New Roman" w:hAnsi="Times New Roman"/>
          <w:sz w:val="28"/>
          <w:szCs w:val="28"/>
          <w:lang w:val="uk-UA"/>
        </w:rPr>
        <w:t>ама тільки форма власності на землю (державна, комунальна та приватна) не може гарантувати захисту земель від руйнівних процесів, якщо ці питання не регулює держава, а навпаки, існує тенденція нераціонального використання земель та відхилення від обов'язкової системи сівозмін [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C87DFF">
        <w:rPr>
          <w:rFonts w:ascii="Times New Roman" w:hAnsi="Times New Roman"/>
          <w:sz w:val="28"/>
          <w:szCs w:val="28"/>
          <w:lang w:val="uk-UA"/>
        </w:rPr>
        <w:t>]. Чому? Тому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87DFF">
        <w:rPr>
          <w:rFonts w:ascii="Times New Roman" w:hAnsi="Times New Roman"/>
          <w:sz w:val="28"/>
          <w:szCs w:val="28"/>
          <w:lang w:val="uk-UA"/>
        </w:rPr>
        <w:t xml:space="preserve">що не врегульований ринок землі. </w:t>
      </w:r>
      <w:r w:rsidRPr="00C87DFF">
        <w:rPr>
          <w:rFonts w:ascii="Times New Roman" w:hAnsi="Times New Roman"/>
          <w:sz w:val="28"/>
          <w:szCs w:val="28"/>
          <w:lang w:val="uk-UA" w:eastAsia="ru-RU"/>
        </w:rPr>
        <w:t>Закономірно, що ніхто не займається відновленням родючості землі. Адже якщо ти не впевнений, що завтра працюватимеш на цій землі, то який сенс інвестувати гроші? Простіше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87DFF">
        <w:rPr>
          <w:rFonts w:ascii="Times New Roman" w:hAnsi="Times New Roman"/>
          <w:sz w:val="28"/>
          <w:szCs w:val="28"/>
          <w:lang w:val="uk-UA" w:eastAsia="ru-RU"/>
        </w:rPr>
        <w:t>засіяти рапс чи соняшник, які виснажують землю. І показник родючості земель падає.</w:t>
      </w:r>
    </w:p>
    <w:p w:rsidR="00702171" w:rsidRDefault="00702171" w:rsidP="00134CDC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F300A">
        <w:rPr>
          <w:rFonts w:ascii="Times New Roman" w:hAnsi="Times New Roman"/>
          <w:sz w:val="28"/>
          <w:szCs w:val="28"/>
          <w:lang w:val="uk-UA"/>
        </w:rPr>
        <w:t>Економічна ефективність  це максимальне виробництво продукції, яке необхідне суспільству, за найменших витрат праці та ресурсів на її одиницю</w:t>
      </w:r>
      <w:r w:rsidRPr="004D04E1">
        <w:rPr>
          <w:rFonts w:ascii="Times New Roman" w:hAnsi="Times New Roman"/>
          <w:sz w:val="28"/>
          <w:szCs w:val="28"/>
        </w:rPr>
        <w:t xml:space="preserve"> [3].</w:t>
      </w:r>
      <w:r w:rsidRPr="00C87DFF">
        <w:rPr>
          <w:rFonts w:ascii="Times New Roman" w:hAnsi="Times New Roman"/>
          <w:sz w:val="28"/>
          <w:szCs w:val="28"/>
          <w:lang w:val="uk-UA"/>
        </w:rPr>
        <w:t>Економічна ефективність землекористування характеризується рівнем виробництва сільськогосподарської продукції — чим більше обсяг виробленої продукції при одночасному зниженні витрат праці й коштів, тим вище економічна ефективність землекористування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C87DFF">
        <w:rPr>
          <w:rFonts w:ascii="Times New Roman" w:hAnsi="Times New Roman"/>
          <w:sz w:val="28"/>
          <w:szCs w:val="28"/>
          <w:lang w:val="uk-UA"/>
        </w:rPr>
        <w:t>].</w:t>
      </w:r>
    </w:p>
    <w:p w:rsidR="00702171" w:rsidRPr="005D1B99" w:rsidRDefault="00702171" w:rsidP="00134CDC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D1B99">
        <w:rPr>
          <w:rFonts w:ascii="Times New Roman" w:hAnsi="Times New Roman"/>
          <w:sz w:val="28"/>
          <w:szCs w:val="28"/>
          <w:lang w:val="uk-UA"/>
        </w:rPr>
        <w:t xml:space="preserve">Відомо, що економічну ефективність використання земельних ресурсів проводять за системою натуральних і вартісних показників. Натуральні показники характеризують: урожайність окремих сільськогосподарських культур; обсяг виробництва окремих видів продукції тваринництва на </w:t>
      </w:r>
      <w:smartTag w:uri="urn:schemas-microsoft-com:office:smarttags" w:element="metricconverter">
        <w:smartTagPr>
          <w:attr w:name="ProductID" w:val="100 га"/>
        </w:smartTagPr>
        <w:r w:rsidRPr="005D1B99">
          <w:rPr>
            <w:rFonts w:ascii="Times New Roman" w:hAnsi="Times New Roman"/>
            <w:sz w:val="28"/>
            <w:szCs w:val="28"/>
            <w:lang w:val="uk-UA"/>
          </w:rPr>
          <w:t>100 га</w:t>
        </w:r>
      </w:smartTag>
      <w:r w:rsidRPr="005D1B99">
        <w:rPr>
          <w:rFonts w:ascii="Times New Roman" w:hAnsi="Times New Roman"/>
          <w:sz w:val="28"/>
          <w:szCs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1 га"/>
        </w:smartTagPr>
        <w:r w:rsidRPr="005D1B99">
          <w:rPr>
            <w:rFonts w:ascii="Times New Roman" w:hAnsi="Times New Roman"/>
            <w:sz w:val="28"/>
            <w:szCs w:val="28"/>
            <w:lang w:val="uk-UA"/>
          </w:rPr>
          <w:t>1 га</w:t>
        </w:r>
      </w:smartTag>
      <w:r w:rsidRPr="005D1B99">
        <w:rPr>
          <w:rFonts w:ascii="Times New Roman" w:hAnsi="Times New Roman"/>
          <w:sz w:val="28"/>
          <w:szCs w:val="28"/>
          <w:lang w:val="uk-UA"/>
        </w:rPr>
        <w:t xml:space="preserve">) відповідних земельних угідь. Ці показники важливі, однак за допомогою них неможливо визначити окупність витрат, пов’язаних із виробництвом і збутом продукції. Вартісні показники дають змогу визначити: рівень виробництва валової продукції у зіставних цінах; суму чистого доходу і прибутку на </w:t>
      </w:r>
      <w:smartTag w:uri="urn:schemas-microsoft-com:office:smarttags" w:element="metricconverter">
        <w:smartTagPr>
          <w:attr w:name="ProductID" w:val="100 га"/>
        </w:smartTagPr>
        <w:r w:rsidRPr="005D1B99">
          <w:rPr>
            <w:rFonts w:ascii="Times New Roman" w:hAnsi="Times New Roman"/>
            <w:sz w:val="28"/>
            <w:szCs w:val="28"/>
            <w:lang w:val="uk-UA"/>
          </w:rPr>
          <w:t>100 га</w:t>
        </w:r>
      </w:smartTag>
      <w:r w:rsidRPr="005D1B99">
        <w:rPr>
          <w:rFonts w:ascii="Times New Roman" w:hAnsi="Times New Roman"/>
          <w:sz w:val="28"/>
          <w:szCs w:val="28"/>
          <w:lang w:val="uk-UA"/>
        </w:rPr>
        <w:t xml:space="preserve"> відповідних земельних угідь; коефіцієнт землевіддачі (відношення вартості валової продукції сільського господарства до витрат на її виробництво). </w:t>
      </w:r>
    </w:p>
    <w:p w:rsidR="00702171" w:rsidRPr="00E342AA" w:rsidRDefault="00702171" w:rsidP="00134CD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E342AA">
        <w:rPr>
          <w:rFonts w:ascii="Times New Roman" w:hAnsi="Times New Roman"/>
          <w:sz w:val="28"/>
          <w:szCs w:val="28"/>
          <w:lang w:val="uk-UA"/>
        </w:rPr>
        <w:t>Таблиця 1.</w:t>
      </w:r>
    </w:p>
    <w:p w:rsidR="00702171" w:rsidRPr="00E342AA" w:rsidRDefault="00702171" w:rsidP="00134CD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342AA">
        <w:rPr>
          <w:rFonts w:ascii="Times New Roman" w:hAnsi="Times New Roman"/>
          <w:sz w:val="28"/>
          <w:szCs w:val="28"/>
          <w:lang w:val="uk-UA"/>
        </w:rPr>
        <w:t xml:space="preserve">Динаміка </w:t>
      </w:r>
      <w:r>
        <w:rPr>
          <w:rFonts w:ascii="Times New Roman" w:hAnsi="Times New Roman"/>
          <w:sz w:val="28"/>
          <w:szCs w:val="28"/>
          <w:lang w:val="uk-UA"/>
        </w:rPr>
        <w:t xml:space="preserve">основних показників </w:t>
      </w:r>
      <w:r w:rsidRPr="00E342AA">
        <w:rPr>
          <w:rFonts w:ascii="Times New Roman" w:hAnsi="Times New Roman"/>
          <w:sz w:val="28"/>
          <w:szCs w:val="28"/>
          <w:lang w:val="uk-UA"/>
        </w:rPr>
        <w:t>економічної ефективності використання сільськогосподарських угідь в Україні</w:t>
      </w:r>
    </w:p>
    <w:p w:rsidR="00702171" w:rsidRPr="00E342AA" w:rsidRDefault="00702171" w:rsidP="00134C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05"/>
        <w:gridCol w:w="1092"/>
        <w:gridCol w:w="1107"/>
        <w:gridCol w:w="1107"/>
        <w:gridCol w:w="1107"/>
        <w:gridCol w:w="1107"/>
        <w:gridCol w:w="810"/>
        <w:gridCol w:w="810"/>
      </w:tblGrid>
      <w:tr w:rsidR="00702171" w:rsidRPr="006F3908" w:rsidTr="006F3908">
        <w:trPr>
          <w:jc w:val="center"/>
        </w:trPr>
        <w:tc>
          <w:tcPr>
            <w:tcW w:w="2205" w:type="dxa"/>
            <w:vMerge w:val="restart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092" w:type="dxa"/>
            <w:vMerge w:val="restart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Одиниці</w:t>
            </w:r>
          </w:p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4428" w:type="dxa"/>
            <w:gridSpan w:val="4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620" w:type="dxa"/>
            <w:gridSpan w:val="2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2017 у % до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  <w:vMerge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92" w:type="dxa"/>
            <w:vMerge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2010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2016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Площа с.-г. угідь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39719,2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39715,4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39711,1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39695,4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99,9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99,9</w:t>
            </w:r>
          </w:p>
        </w:tc>
      </w:tr>
      <w:tr w:rsidR="00702171" w:rsidRPr="006F3908" w:rsidTr="006F3908">
        <w:trPr>
          <w:jc w:val="center"/>
        </w:trPr>
        <w:tc>
          <w:tcPr>
            <w:tcW w:w="9345" w:type="dxa"/>
            <w:gridSpan w:val="8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Площа посівів сільськогосподарських культур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Зернові культури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13913,3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14640,9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w w:val="92"/>
                <w:sz w:val="24"/>
                <w:szCs w:val="24"/>
              </w:rPr>
              <w:t>14337,1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14560,3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104,6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101,5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Цукрові буряки (фабричні)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га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492,0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237,0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291,1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313,6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63,7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107,7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Соняшник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га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4499,3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5166,2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6086,7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6060,7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134,7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99,6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Картопля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1384,9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1291,0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1311,6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1323,2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95,5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100,8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Овочі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444,7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447,1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447,1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446,3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100,3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Плоди та ягоди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га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209,5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206,0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196,7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198,5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94,7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100,9</w:t>
            </w:r>
          </w:p>
        </w:tc>
      </w:tr>
      <w:tr w:rsidR="00702171" w:rsidRPr="006F3908" w:rsidTr="006F3908">
        <w:trPr>
          <w:jc w:val="center"/>
        </w:trPr>
        <w:tc>
          <w:tcPr>
            <w:tcW w:w="9345" w:type="dxa"/>
            <w:gridSpan w:val="8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Урожайність сільськогосподарських культур(у всіх  категоріях господарств)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Зернові культури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43,7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41,1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46,1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42,5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97,2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92,2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Цукрові буряки (фабричні)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476,5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435,8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481,5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474,9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98,6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Соняшник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19,4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21,6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22,4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20,2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104,1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90,1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Картопля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176,4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161,4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165,8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167,8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95,1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101,2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Овочі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207,8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206,1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210,5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207.9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98,7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Плоди та ягоди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95,2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104,5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101,9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103,1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108,3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101,1</w:t>
            </w:r>
          </w:p>
        </w:tc>
      </w:tr>
      <w:tr w:rsidR="00702171" w:rsidRPr="006F3908" w:rsidTr="006F3908">
        <w:trPr>
          <w:jc w:val="center"/>
        </w:trPr>
        <w:tc>
          <w:tcPr>
            <w:tcW w:w="9345" w:type="dxa"/>
            <w:gridSpan w:val="8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Валовий збір сільськогосподарських культур (всіма категоріями господарств)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Зернові культури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тон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39270,9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60125,8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66088,0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61916,7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157,6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93,7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Цукрові буряки (фабричні)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тон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13749,2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10330,8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14011,3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14881,6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108,2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106,2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Соняшник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тон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6771,5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11181,1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13626,9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12235,5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180,6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89,7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Картопля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тон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18704,8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20839,3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21750,3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22208,2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118,7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102,1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Овочі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тон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8122,4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9214,0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9414,5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9286,3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114,3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98,6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Плоди та ягоди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 тон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1746,5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2152,8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2007,3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2048,0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117,3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102,0</w:t>
            </w:r>
          </w:p>
        </w:tc>
      </w:tr>
      <w:tr w:rsidR="00702171" w:rsidRPr="006F3908" w:rsidTr="006F3908">
        <w:trPr>
          <w:jc w:val="center"/>
        </w:trPr>
        <w:tc>
          <w:tcPr>
            <w:tcW w:w="9345" w:type="dxa"/>
            <w:gridSpan w:val="8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Вироблено  продукції тваринництва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М’яса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тис.тон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2059,0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2322,6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2323,6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2318,2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112,6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99,7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Молока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тис.тон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11248,5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10615,4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10381,5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10280,5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91,4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99,0</w:t>
            </w:r>
          </w:p>
        </w:tc>
      </w:tr>
      <w:tr w:rsidR="00702171" w:rsidRPr="006F3908" w:rsidTr="006F3908">
        <w:trPr>
          <w:jc w:val="center"/>
        </w:trPr>
        <w:tc>
          <w:tcPr>
            <w:tcW w:w="9345" w:type="dxa"/>
            <w:gridSpan w:val="8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Вироблено на 1 особу,)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Зернових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2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856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2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1549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1457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94,0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Цукрових буряків 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328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116,6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109,3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Соняшнику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194,6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90,3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Картоплі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408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486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523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128,2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102,5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Овочів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215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221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118,6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95,0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Плодів та ягід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126,3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102,1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М’яса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44,9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54,2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54,5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54,6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121,6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100,1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Молока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245,2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247,8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243,3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242,0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98,7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99,5</w:t>
            </w:r>
          </w:p>
        </w:tc>
      </w:tr>
      <w:tr w:rsidR="00702171" w:rsidRPr="006F3908" w:rsidTr="006F3908">
        <w:trPr>
          <w:jc w:val="center"/>
        </w:trPr>
        <w:tc>
          <w:tcPr>
            <w:tcW w:w="9345" w:type="dxa"/>
            <w:gridSpan w:val="8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Вироблено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6F3908">
                <w:rPr>
                  <w:rFonts w:ascii="Times New Roman" w:hAnsi="Times New Roman"/>
                  <w:sz w:val="24"/>
                  <w:szCs w:val="24"/>
                  <w:lang w:val="uk-UA"/>
                </w:rPr>
                <w:t>100 га</w:t>
              </w:r>
            </w:smartTag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с.- г. угідь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М’яса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51,8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58,4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58,5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58,4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112,7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Молока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283,2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267,2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261,4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258,9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91,4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99,0</w:t>
            </w:r>
          </w:p>
        </w:tc>
      </w:tr>
      <w:tr w:rsidR="00702171" w:rsidRPr="006F3908" w:rsidTr="006F3908">
        <w:trPr>
          <w:jc w:val="center"/>
        </w:trPr>
        <w:tc>
          <w:tcPr>
            <w:tcW w:w="9345" w:type="dxa"/>
            <w:gridSpan w:val="8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Валова продукція сільського господарства у постійних цінах 2010 року</w:t>
            </w:r>
          </w:p>
        </w:tc>
      </w:tr>
      <w:tr w:rsidR="00702171" w:rsidRPr="006F3908" w:rsidTr="006F3908">
        <w:trPr>
          <w:trHeight w:val="442"/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Валова продукція с.г. у постійних цінах 2010 року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w w:val="99"/>
                <w:sz w:val="24"/>
                <w:szCs w:val="24"/>
              </w:rPr>
              <w:t>194886,5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w w:val="99"/>
                <w:sz w:val="24"/>
                <w:szCs w:val="24"/>
              </w:rPr>
              <w:t>239467,3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w w:val="99"/>
                <w:sz w:val="24"/>
                <w:szCs w:val="24"/>
              </w:rPr>
              <w:t>254640,5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</w:p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w w:val="99"/>
                <w:sz w:val="24"/>
                <w:szCs w:val="24"/>
              </w:rPr>
              <w:t>249157,0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127,8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97,8</w:t>
            </w:r>
          </w:p>
        </w:tc>
      </w:tr>
      <w:tr w:rsidR="00702171" w:rsidRPr="006F3908" w:rsidTr="006F3908">
        <w:trPr>
          <w:jc w:val="center"/>
        </w:trPr>
        <w:tc>
          <w:tcPr>
            <w:tcW w:w="9345" w:type="dxa"/>
            <w:gridSpan w:val="8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Вироблено сільськогосподарської продукції всіма категоріями господарств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на одну особу: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107" w:type="dxa"/>
            <w:vAlign w:val="bottom"/>
          </w:tcPr>
          <w:p w:rsidR="00702171" w:rsidRPr="006F3908" w:rsidRDefault="00702171" w:rsidP="006F3908">
            <w:pPr>
              <w:spacing w:after="0" w:line="240" w:lineRule="atLeast"/>
              <w:ind w:right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4249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5589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5967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</w:rPr>
              <w:t>5865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138,0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98,3</w:t>
            </w:r>
          </w:p>
        </w:tc>
      </w:tr>
      <w:tr w:rsidR="00702171" w:rsidRPr="006F3908" w:rsidTr="006F3908">
        <w:trPr>
          <w:jc w:val="center"/>
        </w:trPr>
        <w:tc>
          <w:tcPr>
            <w:tcW w:w="2205" w:type="dxa"/>
          </w:tcPr>
          <w:p w:rsidR="00702171" w:rsidRPr="006F3908" w:rsidRDefault="00702171" w:rsidP="006F3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6F3908">
                <w:rPr>
                  <w:rFonts w:ascii="Times New Roman" w:hAnsi="Times New Roman"/>
                  <w:sz w:val="24"/>
                  <w:szCs w:val="24"/>
                  <w:lang w:val="uk-UA"/>
                </w:rPr>
                <w:t>100 га</w:t>
              </w:r>
            </w:smartTag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с.г. угідь</w:t>
            </w:r>
          </w:p>
        </w:tc>
        <w:tc>
          <w:tcPr>
            <w:tcW w:w="1092" w:type="dxa"/>
          </w:tcPr>
          <w:p w:rsidR="00702171" w:rsidRPr="006F3908" w:rsidRDefault="00702171" w:rsidP="006F3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490,8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603,2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641,4,</w:t>
            </w:r>
          </w:p>
        </w:tc>
        <w:tc>
          <w:tcPr>
            <w:tcW w:w="1107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629.2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128,2</w:t>
            </w:r>
          </w:p>
        </w:tc>
        <w:tc>
          <w:tcPr>
            <w:tcW w:w="810" w:type="dxa"/>
          </w:tcPr>
          <w:p w:rsidR="00702171" w:rsidRPr="006F3908" w:rsidRDefault="00702171" w:rsidP="006F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3908">
              <w:rPr>
                <w:rFonts w:ascii="Times New Roman" w:hAnsi="Times New Roman"/>
                <w:sz w:val="24"/>
                <w:szCs w:val="24"/>
                <w:lang w:val="uk-UA"/>
              </w:rPr>
              <w:t>98,1</w:t>
            </w:r>
          </w:p>
        </w:tc>
      </w:tr>
    </w:tbl>
    <w:p w:rsidR="00702171" w:rsidRPr="00DE4F2E" w:rsidRDefault="00702171" w:rsidP="00134C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E4F2E">
        <w:rPr>
          <w:rFonts w:ascii="Times New Roman" w:hAnsi="Times New Roman"/>
          <w:sz w:val="24"/>
          <w:szCs w:val="24"/>
          <w:lang w:val="uk-UA"/>
        </w:rPr>
        <w:t>Без урахування площі і показників АРК і Севастополя</w:t>
      </w:r>
      <w:r w:rsidRPr="005A067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5A0678">
        <w:rPr>
          <w:rFonts w:ascii="Times New Roman" w:hAnsi="Times New Roman"/>
          <w:sz w:val="28"/>
          <w:szCs w:val="28"/>
        </w:rPr>
        <w:t>].</w:t>
      </w:r>
    </w:p>
    <w:p w:rsidR="00702171" w:rsidRDefault="00702171" w:rsidP="00134CDC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>За даними табл. 1 можна зробити висновки, що в Україні сільськогосподарські угід</w:t>
      </w:r>
      <w:r>
        <w:rPr>
          <w:rFonts w:ascii="Times New Roman" w:hAnsi="Times New Roman"/>
          <w:sz w:val="28"/>
          <w:szCs w:val="28"/>
          <w:lang w:val="uk-UA"/>
        </w:rPr>
        <w:t>дя використовуються не</w:t>
      </w:r>
      <w:r w:rsidRPr="00B97978">
        <w:rPr>
          <w:rFonts w:ascii="Times New Roman" w:hAnsi="Times New Roman"/>
          <w:sz w:val="28"/>
          <w:szCs w:val="28"/>
          <w:lang w:val="uk-UA"/>
        </w:rPr>
        <w:t xml:space="preserve"> ефективно. Відносно</w:t>
      </w:r>
      <w:r>
        <w:rPr>
          <w:rFonts w:ascii="Times New Roman" w:hAnsi="Times New Roman"/>
          <w:sz w:val="28"/>
          <w:szCs w:val="28"/>
          <w:lang w:val="uk-UA"/>
        </w:rPr>
        <w:t xml:space="preserve"> 2010 рокузросли валові збори продукції, але це відбулось, як правило,  за рахунок збільшення посівних площ. Урожайність коливається в тих самих межах. </w:t>
      </w:r>
      <w:r w:rsidRPr="00B97978">
        <w:rPr>
          <w:rFonts w:ascii="Times New Roman" w:hAnsi="Times New Roman"/>
          <w:sz w:val="28"/>
          <w:szCs w:val="28"/>
          <w:lang w:val="uk-UA"/>
        </w:rPr>
        <w:t xml:space="preserve">Особливу увагу варто звернути на збільшення посівних площ соняшнику в 2017 році в порівнянні з 2010 роком, вона збільшилась на </w:t>
      </w:r>
      <w:r w:rsidRPr="000972E0">
        <w:rPr>
          <w:rFonts w:ascii="Times New Roman" w:hAnsi="Times New Roman"/>
          <w:sz w:val="28"/>
          <w:szCs w:val="28"/>
          <w:lang w:val="uk-UA"/>
        </w:rPr>
        <w:t>34,7 %.</w:t>
      </w:r>
      <w:r w:rsidRPr="00B97978">
        <w:rPr>
          <w:rFonts w:ascii="Times New Roman" w:hAnsi="Times New Roman"/>
          <w:sz w:val="28"/>
          <w:szCs w:val="28"/>
          <w:lang w:val="uk-UA"/>
        </w:rPr>
        <w:t xml:space="preserve"> Варто зазначити, що соняшник – культура, яка виносить поживні речовини з ґрунту і, відповідно, збільшення площ під її посіви призводить до зменшення гумусу та зниження родючості сільськогосподарських земель.</w:t>
      </w:r>
    </w:p>
    <w:p w:rsidR="00702171" w:rsidRPr="00B97978" w:rsidRDefault="00702171" w:rsidP="00134C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результаті дослідження ефективності використання земель іншими країнами (які пізніше стали членами ЄС) </w:t>
      </w:r>
      <w:r w:rsidRPr="00B97978">
        <w:rPr>
          <w:rFonts w:ascii="Times New Roman" w:hAnsi="Times New Roman"/>
          <w:sz w:val="28"/>
          <w:szCs w:val="28"/>
          <w:lang w:val="uk-UA"/>
        </w:rPr>
        <w:t>при меншому забезпеченню на одного працюючого в сільськогосподарському виробництві земельними ресурсами обсяги виробництва продукції  в рази більші.</w:t>
      </w:r>
    </w:p>
    <w:p w:rsidR="00702171" w:rsidRPr="00DE4F2E" w:rsidRDefault="00702171" w:rsidP="00134CDC">
      <w:pPr>
        <w:tabs>
          <w:tab w:val="left" w:pos="1548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702171" w:rsidRPr="00E342AA" w:rsidRDefault="00702171" w:rsidP="00134C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6F3908">
        <w:rPr>
          <w:rFonts w:ascii="Times New Roman" w:hAnsi="Times New Roman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search.ligazakon.ua/l_flib1.nsf/LookupFiles/KP170413_IMG_008.gif/$file/KP170413_IMG_008.gif" style="width:238.5pt;height:213pt;visibility:visible">
            <v:imagedata r:id="rId7" o:title=""/>
          </v:shape>
        </w:pict>
      </w:r>
    </w:p>
    <w:p w:rsidR="00702171" w:rsidRPr="00415EF8" w:rsidRDefault="00702171" w:rsidP="00134CD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15EF8">
        <w:rPr>
          <w:rFonts w:ascii="Times New Roman" w:hAnsi="Times New Roman"/>
          <w:sz w:val="28"/>
          <w:szCs w:val="28"/>
          <w:lang w:val="uk-UA"/>
        </w:rPr>
        <w:t xml:space="preserve">Рис.1. </w:t>
      </w:r>
      <w:r w:rsidRPr="00415E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Площа сільськогосподарських угідь та обсяги виробництва </w:t>
      </w:r>
    </w:p>
    <w:p w:rsidR="00702171" w:rsidRPr="00415EF8" w:rsidRDefault="00702171" w:rsidP="00134CD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15E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одну особу, зайняту в с.г.  виробництві</w:t>
      </w:r>
      <w:r>
        <w:rPr>
          <w:rFonts w:ascii="Times New Roman" w:hAnsi="Times New Roman"/>
          <w:sz w:val="28"/>
          <w:szCs w:val="28"/>
          <w:lang w:val="uk-UA"/>
        </w:rPr>
        <w:t>[1</w:t>
      </w:r>
      <w:r w:rsidRPr="00415EF8">
        <w:rPr>
          <w:rFonts w:ascii="Times New Roman" w:hAnsi="Times New Roman"/>
          <w:sz w:val="28"/>
          <w:szCs w:val="28"/>
          <w:lang w:val="uk-UA"/>
        </w:rPr>
        <w:t>].</w:t>
      </w:r>
    </w:p>
    <w:p w:rsidR="00702171" w:rsidRPr="00DE4F2E" w:rsidRDefault="00702171" w:rsidP="00134CDC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E4F2E">
        <w:rPr>
          <w:rFonts w:ascii="Times New Roman" w:hAnsi="Times New Roman"/>
          <w:sz w:val="28"/>
          <w:szCs w:val="28"/>
          <w:lang w:val="uk-UA"/>
        </w:rPr>
        <w:t xml:space="preserve">Україна характеризується великою розораністю, площа ріллі продовжує збільшується за рахунок зменшення площі земель іншого призначення, зменшуючи питому вагу природних кормових угідь, багаторічних насаджень, тощо. </w:t>
      </w:r>
    </w:p>
    <w:p w:rsidR="00702171" w:rsidRPr="00B97978" w:rsidRDefault="00702171" w:rsidP="00134CDC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>Суттєві зміни відбуваються в структурі посівних площ сільськогосподарських культур. Зростання обсягів площ засіяних технічними культурами свідчить про бажання їх власників отримати надвисокі продукти, адже рентабельність соняшнику, є вищою, ніж рентабельність пшениці</w:t>
      </w:r>
    </w:p>
    <w:p w:rsidR="00702171" w:rsidRPr="00B97978" w:rsidRDefault="00702171" w:rsidP="00134C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>Порушуються сівозміни. Різко зменшилося використання  органічних добрив. Впродовж 27 років незалежності України поголів’я худоби суттєво зменшилося, зокрема: поголів’я великої рогатої худоби (ВРХ) зменшилося на 20 млн. 873 тис. голів; свиней – на 12 млн. 348 тис.; овець та кіз – на 7 млн. 93 тис. голів. Зменшення поголів’я худоби має подвійний вплив на зменшення родючості ґрунтів, адже з одного боку призводить до зменшення обсягів органічних добрив (гною), а з іншого – зменшує необхідність посівів кормових культур, звільняючи посівні площі під технічні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[6</w:t>
      </w:r>
      <w:r w:rsidRPr="00B97978">
        <w:rPr>
          <w:rFonts w:ascii="Times New Roman" w:hAnsi="Times New Roman"/>
          <w:sz w:val="28"/>
          <w:szCs w:val="28"/>
          <w:lang w:val="uk-UA"/>
        </w:rPr>
        <w:t>].</w:t>
      </w:r>
    </w:p>
    <w:p w:rsidR="00702171" w:rsidRPr="00B97978" w:rsidRDefault="00702171" w:rsidP="00134C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 xml:space="preserve"> Слабкість фінансово-економічного становища середніх і малих сільськогосподарських підприємств унеможливлює удосконалення технологічних операцій вирощування сільгоспкультур, оновлення матеріально-технічної бази, впровадження у виробництво інновацій. </w:t>
      </w:r>
    </w:p>
    <w:p w:rsidR="00702171" w:rsidRPr="00B97978" w:rsidRDefault="00702171" w:rsidP="00134C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>Заходи щодо підвищення ефективності використання земельних ресурсів, охорони сільськогосподарських земель, їхнього раціонального використання, консервації деградованих і малопродуктивних земель на жаль мають епізодичний характер</w:t>
      </w:r>
      <w:r>
        <w:rPr>
          <w:rFonts w:ascii="Times New Roman" w:hAnsi="Times New Roman"/>
          <w:sz w:val="28"/>
          <w:szCs w:val="28"/>
          <w:lang w:val="uk-UA"/>
        </w:rPr>
        <w:t>[4</w:t>
      </w:r>
      <w:r w:rsidRPr="00B97978">
        <w:rPr>
          <w:rFonts w:ascii="Times New Roman" w:hAnsi="Times New Roman"/>
          <w:sz w:val="28"/>
          <w:szCs w:val="28"/>
          <w:lang w:val="uk-UA"/>
        </w:rPr>
        <w:t>].</w:t>
      </w:r>
    </w:p>
    <w:p w:rsidR="00702171" w:rsidRPr="00B97978" w:rsidRDefault="00702171" w:rsidP="00134C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>Висновки: Підвищення економічної ефективності використання землі знаходиться в прямій залежності від збереження та підвищення її родючості. Ц</w:t>
      </w:r>
      <w:r w:rsidRPr="00B97978">
        <w:rPr>
          <w:rFonts w:ascii="Times New Roman" w:hAnsi="Times New Roman"/>
          <w:sz w:val="28"/>
          <w:szCs w:val="28"/>
          <w:lang w:val="uk-UA" w:eastAsia="ru-RU"/>
        </w:rPr>
        <w:t>е комплексний процес, що базується на результатах після аналізу багатьох чинників та показників.</w:t>
      </w:r>
    </w:p>
    <w:p w:rsidR="00702171" w:rsidRPr="0024449E" w:rsidRDefault="00702171" w:rsidP="002444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 w:eastAsia="ru-RU"/>
        </w:rPr>
        <w:t>З урахуванням ситуації, що склалася в Україні з використання сільськогосподарських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угідь</w:t>
      </w:r>
      <w:r w:rsidRPr="00D42FFC">
        <w:rPr>
          <w:rFonts w:ascii="Times New Roman" w:hAnsi="Times New Roman"/>
          <w:sz w:val="28"/>
          <w:szCs w:val="28"/>
          <w:lang w:val="uk-UA" w:eastAsia="ru-RU"/>
        </w:rPr>
        <w:t xml:space="preserve">, політика земельних відносин повинна бути спрямована не стільки на зміну земельної власності, скільки на створення умов для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економічно </w:t>
      </w:r>
      <w:r w:rsidRPr="00D42FFC">
        <w:rPr>
          <w:rFonts w:ascii="Times New Roman" w:hAnsi="Times New Roman"/>
          <w:sz w:val="28"/>
          <w:szCs w:val="28"/>
          <w:lang w:val="uk-UA" w:eastAsia="ru-RU"/>
        </w:rPr>
        <w:t xml:space="preserve">ефективного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 </w:t>
      </w:r>
      <w:r w:rsidRPr="00D42FFC">
        <w:rPr>
          <w:rFonts w:ascii="Times New Roman" w:hAnsi="Times New Roman"/>
          <w:sz w:val="28"/>
          <w:szCs w:val="28"/>
          <w:lang w:val="uk-UA" w:eastAsia="ru-RU"/>
        </w:rPr>
        <w:t>екологічно безпечного землекористування, підвищення родючості ґрунтів та зростання сіль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ськогосподарського виробництва. </w:t>
      </w:r>
      <w:r w:rsidRPr="00DE4F2E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Земля,  завжди була, є і буде нашим національним багатством і дбаючи про успішне майбутнє країни ми повинні «розумно»  використовувати її.</w:t>
      </w:r>
    </w:p>
    <w:p w:rsidR="00702171" w:rsidRDefault="00702171" w:rsidP="0097513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702171" w:rsidRDefault="00702171" w:rsidP="002444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2171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24449E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П</w:t>
      </w:r>
      <w:r w:rsidRPr="004D04E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останова Кабінету Міністрів України  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ними. від </w:t>
      </w:r>
      <w:r w:rsidRPr="004D04E1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7 </w:t>
      </w:r>
      <w:r w:rsidRPr="004D04E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червня 2017 р. № 413</w:t>
      </w:r>
      <w:r w:rsidRPr="004D04E1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4D04E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Київ </w:t>
      </w:r>
      <w:hyperlink r:id="rId8" w:history="1">
        <w:r w:rsidRPr="00E73F6E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https://zakon.rada.gov.ua</w:t>
        </w:r>
      </w:hyperlink>
    </w:p>
    <w:p w:rsidR="00702171" w:rsidRPr="004D04E1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15E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Андрійчук В.Г. Економіка підприємств агропромислового комплексу /В.Г. Андрійчук// Підручник. – К.:КНЕУ. – 2013. – 779с.</w:t>
      </w:r>
    </w:p>
    <w:p w:rsidR="00702171" w:rsidRPr="004D04E1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04E1">
        <w:rPr>
          <w:rFonts w:ascii="Times New Roman" w:hAnsi="Times New Roman"/>
          <w:sz w:val="28"/>
          <w:szCs w:val="28"/>
        </w:rPr>
        <w:t>Збарський В. Економіка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04E1">
        <w:rPr>
          <w:rFonts w:ascii="Times New Roman" w:hAnsi="Times New Roman"/>
          <w:sz w:val="28"/>
          <w:szCs w:val="28"/>
        </w:rPr>
        <w:t>сільського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04E1">
        <w:rPr>
          <w:rFonts w:ascii="Times New Roman" w:hAnsi="Times New Roman"/>
          <w:sz w:val="28"/>
          <w:szCs w:val="28"/>
        </w:rPr>
        <w:t>господарства : [навч. посібник] / В. Збарський, В. Мацибора, А. Чалий. – К. :Каравела, 2009. – 264 с</w:t>
      </w:r>
    </w:p>
    <w:p w:rsidR="00702171" w:rsidRPr="00B97978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>Зінченко Т.Є. Інституціональні аспекти трансформації землекористувань населених пунктів в сучасних ринкових умовах / Т.Є. Зінченко. – Житомир : Вид-во "ПП Рута", 2010. – 214 с.</w:t>
      </w:r>
    </w:p>
    <w:p w:rsidR="00702171" w:rsidRPr="00B97978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979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Котикова О.І. Методологічні та методичні основи комплексної оцінки сталого розвитку сільськогосподарського землекористування // О. І. Котикова // Сб. науч. Трудов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B979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SWorld. - Вып. 2. Т. 20. - Одесса: Куприенко, 2012. - С. 85-94.</w:t>
      </w:r>
    </w:p>
    <w:p w:rsidR="00702171" w:rsidRPr="00B97978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>Мазнєв Г.Є. Геоінформаційні технології в агарному виробництві / Г.Є. Мазнєв // Економіка АПК. – 2011. – № 4. – С. 133</w:t>
      </w:r>
    </w:p>
    <w:p w:rsidR="00702171" w:rsidRPr="00415EF8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15E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Макарова В.В. Ефективність використання земельних угідь с.-г. підприємствами / В.В. Макарова // Економічний простір: зб. наук. пр. – 2011. – № 52/1. – С. 284-290.</w:t>
      </w:r>
    </w:p>
    <w:p w:rsidR="00702171" w:rsidRPr="00B97978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>Офіційний сайт Державної служби статистики України. URL: www.ukrstat.gov.ua.</w:t>
      </w:r>
    </w:p>
    <w:p w:rsidR="00702171" w:rsidRPr="00B97978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7978">
        <w:rPr>
          <w:rFonts w:ascii="Times New Roman" w:hAnsi="Times New Roman"/>
          <w:sz w:val="28"/>
          <w:szCs w:val="28"/>
          <w:lang w:val="uk-UA"/>
        </w:rPr>
        <w:t>Саблук П.Т. Реалізація механізму реформ в аграрній сфері / П.Т. Саблук // Економіка АПК. — 2011. — № 10. — С. 3—6.</w:t>
      </w:r>
    </w:p>
    <w:p w:rsidR="00702171" w:rsidRPr="00E07F37" w:rsidRDefault="00702171" w:rsidP="0024449E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7F37">
        <w:rPr>
          <w:rFonts w:ascii="Times New Roman" w:hAnsi="Times New Roman"/>
          <w:sz w:val="28"/>
          <w:szCs w:val="28"/>
          <w:lang w:val="uk-UA"/>
        </w:rPr>
        <w:t xml:space="preserve">Сільське господарство України за 2017 рік. Статистичний збірник.-К.:Державна служба статистики України.- 2016р – с.53. - . [Електронний ресурс].- Режим доступу: . </w:t>
      </w:r>
      <w:hyperlink r:id="rId9" w:history="1">
        <w:r w:rsidRPr="00E07F37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http://www.ukrstat.gov.ua</w:t>
        </w:r>
      </w:hyperlink>
    </w:p>
    <w:p w:rsidR="00702171" w:rsidRPr="004736A9" w:rsidRDefault="00702171" w:rsidP="00134CDC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0" w:name="n3"/>
      <w:bookmarkStart w:id="1" w:name="_GoBack"/>
      <w:bookmarkEnd w:id="0"/>
      <w:bookmarkEnd w:id="1"/>
    </w:p>
    <w:p w:rsidR="00702171" w:rsidRPr="0096437E" w:rsidRDefault="00702171" w:rsidP="00134CDC">
      <w:pPr>
        <w:rPr>
          <w:rFonts w:ascii="Times New Roman" w:hAnsi="Times New Roman"/>
          <w:color w:val="FFFFFF"/>
          <w:lang w:val="uk-UA"/>
        </w:rPr>
      </w:pPr>
    </w:p>
    <w:p w:rsidR="00702171" w:rsidRPr="00134CDC" w:rsidRDefault="00702171">
      <w:pPr>
        <w:rPr>
          <w:lang w:val="uk-UA"/>
        </w:rPr>
      </w:pPr>
    </w:p>
    <w:sectPr w:rsidR="00702171" w:rsidRPr="00134CDC" w:rsidSect="00766028">
      <w:footerReference w:type="default" r:id="rId10"/>
      <w:pgSz w:w="11906" w:h="16838"/>
      <w:pgMar w:top="113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171" w:rsidRDefault="00702171">
      <w:pPr>
        <w:spacing w:after="0" w:line="240" w:lineRule="auto"/>
      </w:pPr>
      <w:r>
        <w:separator/>
      </w:r>
    </w:p>
  </w:endnote>
  <w:endnote w:type="continuationSeparator" w:id="1">
    <w:p w:rsidR="00702171" w:rsidRDefault="00702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171" w:rsidRDefault="00702171">
    <w:pPr>
      <w:pStyle w:val="Footer"/>
    </w:pPr>
  </w:p>
  <w:p w:rsidR="00702171" w:rsidRDefault="00702171">
    <w:pPr>
      <w:pStyle w:val="Footer"/>
    </w:pPr>
  </w:p>
  <w:p w:rsidR="00702171" w:rsidRDefault="007021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171" w:rsidRDefault="00702171">
      <w:pPr>
        <w:spacing w:after="0" w:line="240" w:lineRule="auto"/>
      </w:pPr>
      <w:r>
        <w:separator/>
      </w:r>
    </w:p>
  </w:footnote>
  <w:footnote w:type="continuationSeparator" w:id="1">
    <w:p w:rsidR="00702171" w:rsidRDefault="00702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F18A5"/>
    <w:multiLevelType w:val="hybridMultilevel"/>
    <w:tmpl w:val="38B4E16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5860358D"/>
    <w:multiLevelType w:val="hybridMultilevel"/>
    <w:tmpl w:val="58646A2A"/>
    <w:lvl w:ilvl="0" w:tplc="25F6B774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7ECA4D81"/>
    <w:multiLevelType w:val="hybridMultilevel"/>
    <w:tmpl w:val="6A42DEA8"/>
    <w:lvl w:ilvl="0" w:tplc="60749C0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CDC"/>
    <w:rsid w:val="00043DBB"/>
    <w:rsid w:val="000972E0"/>
    <w:rsid w:val="0012286D"/>
    <w:rsid w:val="00134CDC"/>
    <w:rsid w:val="00217BB6"/>
    <w:rsid w:val="0024449E"/>
    <w:rsid w:val="003F4393"/>
    <w:rsid w:val="00415EF8"/>
    <w:rsid w:val="004278F6"/>
    <w:rsid w:val="004736A9"/>
    <w:rsid w:val="00497E16"/>
    <w:rsid w:val="004D04E1"/>
    <w:rsid w:val="005A0678"/>
    <w:rsid w:val="005D1B99"/>
    <w:rsid w:val="00613E93"/>
    <w:rsid w:val="006F3908"/>
    <w:rsid w:val="00702171"/>
    <w:rsid w:val="00766028"/>
    <w:rsid w:val="00795809"/>
    <w:rsid w:val="0096437E"/>
    <w:rsid w:val="00975134"/>
    <w:rsid w:val="009E17AD"/>
    <w:rsid w:val="00A14A6E"/>
    <w:rsid w:val="00B97978"/>
    <w:rsid w:val="00C87DFF"/>
    <w:rsid w:val="00D42FFC"/>
    <w:rsid w:val="00DE4F2E"/>
    <w:rsid w:val="00DF300A"/>
    <w:rsid w:val="00E07F37"/>
    <w:rsid w:val="00E342AA"/>
    <w:rsid w:val="00E55996"/>
    <w:rsid w:val="00E73F6E"/>
    <w:rsid w:val="00F20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CDC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34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34CDC"/>
    <w:rPr>
      <w:rFonts w:cs="Times New Roman"/>
    </w:rPr>
  </w:style>
  <w:style w:type="table" w:styleId="TableGrid">
    <w:name w:val="Table Grid"/>
    <w:basedOn w:val="TableNormal"/>
    <w:uiPriority w:val="99"/>
    <w:rsid w:val="00134C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34CD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34CD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66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6</Pages>
  <Words>6706</Words>
  <Characters>3823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gatylo0202@gmail.com</dc:creator>
  <cp:keywords/>
  <dc:description/>
  <cp:lastModifiedBy>Admin</cp:lastModifiedBy>
  <cp:revision>10</cp:revision>
  <dcterms:created xsi:type="dcterms:W3CDTF">2019-02-27T17:29:00Z</dcterms:created>
  <dcterms:modified xsi:type="dcterms:W3CDTF">2019-02-28T07:49:00Z</dcterms:modified>
</cp:coreProperties>
</file>