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98F" w:rsidRPr="003D42DC" w:rsidRDefault="001E198F" w:rsidP="00755EA4">
      <w:pPr>
        <w:pStyle w:val="ListParagraph"/>
        <w:spacing w:after="0" w:line="360" w:lineRule="auto"/>
        <w:ind w:left="0"/>
        <w:jc w:val="right"/>
        <w:rPr>
          <w:b/>
          <w:szCs w:val="28"/>
          <w:lang w:val="kk-KZ"/>
        </w:rPr>
      </w:pPr>
      <w:r w:rsidRPr="003D42DC">
        <w:rPr>
          <w:b/>
          <w:szCs w:val="28"/>
          <w:lang w:val="kk-KZ"/>
        </w:rPr>
        <w:t>Еңлік Сванқұлова Талғатқызы</w:t>
      </w:r>
    </w:p>
    <w:p w:rsidR="001E198F" w:rsidRPr="003D42DC" w:rsidRDefault="001E198F" w:rsidP="00755EA4">
      <w:pPr>
        <w:pStyle w:val="ListParagraph"/>
        <w:spacing w:after="0" w:line="360" w:lineRule="auto"/>
        <w:ind w:left="0"/>
        <w:jc w:val="right"/>
        <w:rPr>
          <w:b/>
          <w:szCs w:val="28"/>
          <w:lang w:val="kk-KZ"/>
        </w:rPr>
      </w:pPr>
      <w:r w:rsidRPr="003D42DC">
        <w:rPr>
          <w:b/>
          <w:szCs w:val="28"/>
          <w:lang w:val="kk-KZ"/>
        </w:rPr>
        <w:t>(Қазақстан, Астана қ.)</w:t>
      </w:r>
    </w:p>
    <w:p w:rsidR="001E198F" w:rsidRDefault="001E198F" w:rsidP="00755EA4">
      <w:pPr>
        <w:pStyle w:val="ListParagraph"/>
        <w:spacing w:after="0" w:line="360" w:lineRule="auto"/>
        <w:ind w:left="0"/>
        <w:jc w:val="right"/>
        <w:rPr>
          <w:szCs w:val="28"/>
          <w:lang w:val="kk-KZ"/>
        </w:rPr>
      </w:pPr>
    </w:p>
    <w:p w:rsidR="001E198F" w:rsidRPr="00363D96" w:rsidRDefault="001E198F" w:rsidP="00F23D80">
      <w:pPr>
        <w:spacing w:after="0" w:line="360" w:lineRule="auto"/>
        <w:jc w:val="center"/>
        <w:rPr>
          <w:rFonts w:ascii="Times New Roman" w:hAnsi="Times New Roman"/>
          <w:b/>
          <w:sz w:val="28"/>
          <w:szCs w:val="28"/>
          <w:lang w:val="kk-KZ"/>
        </w:rPr>
      </w:pPr>
      <w:r w:rsidRPr="00363D96">
        <w:rPr>
          <w:rFonts w:ascii="Times New Roman" w:hAnsi="Times New Roman"/>
          <w:b/>
          <w:sz w:val="28"/>
          <w:szCs w:val="28"/>
          <w:lang w:val="kk-KZ"/>
        </w:rPr>
        <w:t>ӘЛЕУМЕТТІК ЖЕЛІДЕ ЖЕКЕ ТҰЛҒАЛАРҒА ҚАУІП ТӨНДІРЕТІН КОНТЕНТТІҢ АҚПАРАТТЫҚ ҚАУІПСІЗДІГІН БАҒАЛАУ</w:t>
      </w:r>
    </w:p>
    <w:p w:rsidR="001E198F" w:rsidRPr="00363D96" w:rsidRDefault="001E198F" w:rsidP="00755EA4">
      <w:pPr>
        <w:spacing w:after="0" w:line="360" w:lineRule="auto"/>
        <w:jc w:val="right"/>
        <w:rPr>
          <w:rFonts w:ascii="Times New Roman" w:hAnsi="Times New Roman"/>
          <w:color w:val="212121"/>
          <w:sz w:val="28"/>
          <w:szCs w:val="28"/>
          <w:shd w:val="clear" w:color="auto" w:fill="FFFFFF"/>
          <w:lang w:val="kk-KZ"/>
        </w:rPr>
      </w:pPr>
    </w:p>
    <w:p w:rsidR="001E198F" w:rsidRDefault="001E198F" w:rsidP="00755EA4">
      <w:pPr>
        <w:tabs>
          <w:tab w:val="left" w:pos="142"/>
        </w:tabs>
        <w:spacing w:after="0" w:line="360" w:lineRule="auto"/>
        <w:ind w:firstLine="709"/>
        <w:contextualSpacing/>
        <w:jc w:val="both"/>
        <w:rPr>
          <w:rFonts w:ascii="Times New Roman" w:hAnsi="Times New Roman"/>
          <w:color w:val="000000"/>
          <w:sz w:val="28"/>
          <w:szCs w:val="28"/>
          <w:shd w:val="clear" w:color="auto" w:fill="FFFFFF"/>
          <w:lang w:val="kk-KZ"/>
        </w:rPr>
      </w:pPr>
      <w:r w:rsidRPr="00A93278">
        <w:rPr>
          <w:rFonts w:ascii="Times New Roman" w:hAnsi="Times New Roman"/>
          <w:sz w:val="28"/>
          <w:szCs w:val="28"/>
          <w:lang w:val="kk-KZ"/>
        </w:rPr>
        <w:t>XXI ғасыр ақпараттандыру ғасыры. Ақпарат төртінші билік тармағына айналды. Заманауи әлемде стратеги</w:t>
      </w:r>
      <w:r w:rsidRPr="00A93278">
        <w:rPr>
          <w:rFonts w:ascii="Times New Roman" w:hAnsi="Times New Roman"/>
          <w:color w:val="000000"/>
          <w:sz w:val="28"/>
          <w:szCs w:val="28"/>
          <w:shd w:val="clear" w:color="auto" w:fill="FFFFFF"/>
          <w:lang w:val="kk-KZ"/>
        </w:rPr>
        <w:t>ялық артықшылықтардың ең маңызды құралдарының бірі ол ақпараттық әсер ету құралдары мен күштері болып табылады. Заманауи ақпараттық және телекоммуникациялық құралдар</w:t>
      </w:r>
      <w:r>
        <w:rPr>
          <w:rFonts w:ascii="Times New Roman" w:hAnsi="Times New Roman"/>
          <w:color w:val="000000"/>
          <w:sz w:val="28"/>
          <w:szCs w:val="28"/>
          <w:shd w:val="clear" w:color="auto" w:fill="FFFFFF"/>
          <w:lang w:val="kk-KZ"/>
        </w:rPr>
        <w:t xml:space="preserve"> мен технологиялардың, ақпаратт</w:t>
      </w:r>
      <w:r w:rsidRPr="00A93278">
        <w:rPr>
          <w:rFonts w:ascii="Times New Roman" w:hAnsi="Times New Roman"/>
          <w:color w:val="000000"/>
          <w:sz w:val="28"/>
          <w:szCs w:val="28"/>
          <w:shd w:val="clear" w:color="auto" w:fill="FFFFFF"/>
          <w:lang w:val="kk-KZ"/>
        </w:rPr>
        <w:t>ың қоғамдағы орнының маңыздылығының артуы жаңа ақпараттаңған қоғамды қалыптастырады. Сондықтан бұл қоғамға акпараттың көмегімен психологиялық әсер етудің көлемінің артуына және эффективтілігінің дәрежесінің артуына әкеліп соғады. Ақпараттық технологиялар мен телекоммуникациялықжүйелердің дамуы акпараттық кеңістіктің заманауи триадасын құрады: адам, ақпарат, техникалық құралдар.</w:t>
      </w:r>
    </w:p>
    <w:p w:rsidR="001E198F" w:rsidRPr="00A93278" w:rsidRDefault="001E198F" w:rsidP="00755EA4">
      <w:pPr>
        <w:tabs>
          <w:tab w:val="left" w:pos="142"/>
        </w:tabs>
        <w:spacing w:after="0" w:line="360" w:lineRule="auto"/>
        <w:ind w:firstLine="709"/>
        <w:contextualSpacing/>
        <w:jc w:val="both"/>
        <w:rPr>
          <w:rFonts w:ascii="Times New Roman" w:hAnsi="Times New Roman"/>
          <w:sz w:val="28"/>
          <w:szCs w:val="28"/>
          <w:lang w:val="kk-KZ"/>
        </w:rPr>
      </w:pPr>
      <w:r w:rsidRPr="00A93278">
        <w:rPr>
          <w:rFonts w:ascii="Times New Roman" w:hAnsi="Times New Roman"/>
          <w:sz w:val="28"/>
          <w:szCs w:val="28"/>
          <w:lang w:val="kk-KZ"/>
        </w:rPr>
        <w:t xml:space="preserve">Қазіргі кезде ақпаратты қорғау және ақпараттық қауіпсіздікті қамтамасыз ету Қазақстан Республикасының тәуелсіздігінің және қорғану қабілеттілігін қамтамасыз етудің негізгі міндеті екендігі анық көрініс береді. Қазақстан республикасының қорғаныс концепциясында ақпарат саласында ұлттық қауіпсіздікке деген қауіптің өскендігі айтылады. Қазақстан Республикасының президенті Н.Ә.Назарбаев өзінің кезекті халыққа жолдауында ақпараттық қауіпсіздікке көп көңіл бөлді. Ол жолдауында ҚР үкіметі мен Ұлттық қауіпсіздік комитетіне «Қазақстан киберқалқаны» жүйесін қалыптастыруға тапсырма берді. </w:t>
      </w:r>
    </w:p>
    <w:p w:rsidR="001E198F" w:rsidRPr="00A93278" w:rsidRDefault="001E198F" w:rsidP="00755EA4">
      <w:pPr>
        <w:tabs>
          <w:tab w:val="left" w:pos="142"/>
        </w:tabs>
        <w:spacing w:after="0" w:line="360" w:lineRule="auto"/>
        <w:ind w:firstLine="709"/>
        <w:contextualSpacing/>
        <w:jc w:val="both"/>
        <w:rPr>
          <w:rFonts w:ascii="Times New Roman" w:hAnsi="Times New Roman"/>
          <w:color w:val="000000"/>
          <w:sz w:val="28"/>
          <w:szCs w:val="28"/>
          <w:shd w:val="clear" w:color="auto" w:fill="FFFFFF"/>
          <w:lang w:val="kk-KZ"/>
        </w:rPr>
      </w:pPr>
      <w:r w:rsidRPr="00A93278">
        <w:rPr>
          <w:rFonts w:ascii="Times New Roman" w:hAnsi="Times New Roman"/>
          <w:sz w:val="28"/>
          <w:szCs w:val="28"/>
          <w:lang w:val="kk-KZ"/>
        </w:rPr>
        <w:t>Осыған қарамастан Қазақстан Республикасы демократи</w:t>
      </w:r>
      <w:r w:rsidRPr="00A93278">
        <w:rPr>
          <w:rFonts w:ascii="Times New Roman" w:hAnsi="Times New Roman"/>
          <w:color w:val="000000"/>
          <w:sz w:val="28"/>
          <w:szCs w:val="28"/>
          <w:shd w:val="clear" w:color="auto" w:fill="FFFFFF"/>
          <w:lang w:val="kk-KZ"/>
        </w:rPr>
        <w:t>ялы мемлекет болғандықтан, оның негізгі принциптеріне сәйкес сөз бостан</w:t>
      </w:r>
      <w:r>
        <w:rPr>
          <w:rFonts w:ascii="Times New Roman" w:hAnsi="Times New Roman"/>
          <w:color w:val="000000"/>
          <w:sz w:val="28"/>
          <w:szCs w:val="28"/>
          <w:shd w:val="clear" w:color="auto" w:fill="FFFFFF"/>
          <w:lang w:val="kk-KZ"/>
        </w:rPr>
        <w:t>дығ</w:t>
      </w:r>
      <w:r w:rsidRPr="00A93278">
        <w:rPr>
          <w:rFonts w:ascii="Times New Roman" w:hAnsi="Times New Roman"/>
          <w:color w:val="000000"/>
          <w:sz w:val="28"/>
          <w:szCs w:val="28"/>
          <w:shd w:val="clear" w:color="auto" w:fill="FFFFFF"/>
          <w:lang w:val="kk-KZ"/>
        </w:rPr>
        <w:t xml:space="preserve">ы ерекше рөл атқарады. Әлемнің көп бөлігіндей адам құқығының жүзеге асырылуы мұнда пікір білдіру бостандығы мен оны шектеу болып табылады. </w:t>
      </w:r>
      <w:r w:rsidRPr="00A93278">
        <w:rPr>
          <w:rFonts w:ascii="Times New Roman" w:hAnsi="Times New Roman"/>
          <w:sz w:val="28"/>
          <w:szCs w:val="28"/>
          <w:lang w:val="kk-KZ"/>
        </w:rPr>
        <w:t>Көпшіліктің пікірі, әлеуметтік шиеленістің деңгейін көрсететіндіктен қазіргі әлеуметтік-экономикалық жағдайдың маңызды индикаторы болып табылады. Шиеленістің деңгейі</w:t>
      </w:r>
      <w:r>
        <w:rPr>
          <w:rFonts w:ascii="Times New Roman" w:hAnsi="Times New Roman"/>
          <w:sz w:val="28"/>
          <w:szCs w:val="28"/>
          <w:lang w:val="kk-KZ"/>
        </w:rPr>
        <w:t>н бақылау және бағалау әлеуметті</w:t>
      </w:r>
      <w:r w:rsidRPr="00A93278">
        <w:rPr>
          <w:rFonts w:ascii="Times New Roman" w:hAnsi="Times New Roman"/>
          <w:sz w:val="28"/>
          <w:szCs w:val="28"/>
          <w:lang w:val="kk-KZ"/>
        </w:rPr>
        <w:t>к-экономикалық жүйенің, Қазақстан республикасының субьектісі тіпті мемлекеттің тұрақты дамуы үшін стратеги</w:t>
      </w:r>
      <w:r w:rsidRPr="00A93278">
        <w:rPr>
          <w:rFonts w:ascii="Times New Roman" w:hAnsi="Times New Roman"/>
          <w:color w:val="000000"/>
          <w:sz w:val="28"/>
          <w:szCs w:val="28"/>
          <w:shd w:val="clear" w:color="auto" w:fill="FFFFFF"/>
          <w:lang w:val="kk-KZ"/>
        </w:rPr>
        <w:t>ялық жоспарлауға мүмкіндік береді. Осыған байланысты қоғам пікірінің мониторингі қаржы-экономикалық, әлеуметтік-саяси және қоғамдық құрылымдармен жиі қолданылатын маңызды және өзекті құралы.</w:t>
      </w:r>
    </w:p>
    <w:p w:rsidR="001E198F" w:rsidRPr="00A93278" w:rsidRDefault="001E198F" w:rsidP="00755EA4">
      <w:pPr>
        <w:tabs>
          <w:tab w:val="left" w:pos="142"/>
        </w:tabs>
        <w:spacing w:after="0" w:line="360" w:lineRule="auto"/>
        <w:ind w:firstLine="709"/>
        <w:contextualSpacing/>
        <w:jc w:val="both"/>
        <w:rPr>
          <w:rFonts w:ascii="Times New Roman" w:hAnsi="Times New Roman"/>
          <w:sz w:val="28"/>
          <w:szCs w:val="28"/>
          <w:lang w:val="kk-KZ"/>
        </w:rPr>
      </w:pPr>
      <w:r w:rsidRPr="00A93278">
        <w:rPr>
          <w:rFonts w:ascii="Times New Roman" w:hAnsi="Times New Roman"/>
          <w:sz w:val="28"/>
          <w:szCs w:val="28"/>
          <w:lang w:val="kk-KZ"/>
        </w:rPr>
        <w:t xml:space="preserve">Қазіргі күні адам құқығын іске асырудың негізгі сұрақтарының бірі: пікір білдірудің бостандығы мен шектеулері болып табылады. Көп жағдайларда оған әр түрлі жеке топтардың және тұлғалардың арасындағы қарым-қатынастарды бұзатын, шыдамсыздық пен сыйламаушылық туғызатын, нәтижесінде конфликтер пен шиеленістерге әкелетін тым қатал шаралар кедергі келтіреді. Сонымен қатар адам құқығы жайлы түсініктер Азия ортаазия аумағында пайда болғанын естен шығармауымыз керек. Дәл осы аумақта, азияның батыс бөлігінде негізгі үш дін пайда болды: христиандық, ислам және буддизм. Осы діндер және осы аумақта туған көптеген философиялық ағымдар бейбітшілік, қигі қарым-қатынастарды, адам өмірін сақтауға деген бейілділікді сыйлау мен бағалауды,басқа адамның орнына өзін қойып түсінуді дәріптейді. </w:t>
      </w:r>
    </w:p>
    <w:p w:rsidR="001E198F" w:rsidRPr="00A93278" w:rsidRDefault="001E198F" w:rsidP="00755EA4">
      <w:pPr>
        <w:tabs>
          <w:tab w:val="left" w:pos="142"/>
        </w:tabs>
        <w:spacing w:after="0" w:line="360" w:lineRule="auto"/>
        <w:ind w:firstLine="709"/>
        <w:contextualSpacing/>
        <w:jc w:val="both"/>
        <w:rPr>
          <w:rFonts w:ascii="Times New Roman" w:hAnsi="Times New Roman"/>
          <w:sz w:val="28"/>
          <w:szCs w:val="28"/>
          <w:lang w:val="kk-KZ"/>
        </w:rPr>
      </w:pPr>
      <w:r w:rsidRPr="00A93278">
        <w:rPr>
          <w:rFonts w:ascii="Times New Roman" w:hAnsi="Times New Roman"/>
          <w:sz w:val="28"/>
          <w:szCs w:val="28"/>
          <w:lang w:val="kk-KZ"/>
        </w:rPr>
        <w:t xml:space="preserve">Әрине формальді жақтан қарасақ, нормаларды құрастыру мен бекітілген   келісімге негізделген ережелер, бұл аумақта  барлық аумақта адам құқықтарын қорғау жүйесін орнататын жалпы аумақтық конвенция жоқ. Бірақ оған қарамастан, біртіндеп әр-түрлі қарқынмен бұнда да адам құқықтарын қамптамасыз ету шараларын қолдайтын қадамдар жасалып </w:t>
      </w:r>
      <w:r>
        <w:rPr>
          <w:rFonts w:ascii="Times New Roman" w:hAnsi="Times New Roman"/>
          <w:sz w:val="28"/>
          <w:szCs w:val="28"/>
          <w:lang w:val="kk-KZ"/>
        </w:rPr>
        <w:t>жатыр. Көптеген мемлекеттердің ұ</w:t>
      </w:r>
      <w:r w:rsidRPr="00A93278">
        <w:rPr>
          <w:rFonts w:ascii="Times New Roman" w:hAnsi="Times New Roman"/>
          <w:sz w:val="28"/>
          <w:szCs w:val="28"/>
          <w:lang w:val="kk-KZ"/>
        </w:rPr>
        <w:t>лттық заңдарында, мысалы Конституцияда,белгілі топтар мен тұлғалардың кепілдігін қарастыратын құқық қорғау аспектілерге бағытталған сілтемелер бар. Шамамен 20 мемлекетте мемлекеттік құқық қорғау институттары болатын, адам құқықтары бойынша коммисиялар мен омбулсмендер бар. Аумақтың әр түрлі бұрыштарында адам құқықтарын қадағалау мақсатында бар нормалар мен олармен байланысты ұйымдастырушылық аспектілерді айқындау бойынша субрегионалды шаралар іске асырылуда</w:t>
      </w:r>
      <w:r w:rsidRPr="00971947">
        <w:rPr>
          <w:rFonts w:ascii="Times New Roman" w:hAnsi="Times New Roman"/>
          <w:sz w:val="28"/>
          <w:szCs w:val="28"/>
          <w:lang w:val="kk-KZ"/>
        </w:rPr>
        <w:t xml:space="preserve"> [1]</w:t>
      </w:r>
      <w:r w:rsidRPr="00A93278">
        <w:rPr>
          <w:rFonts w:ascii="Times New Roman" w:hAnsi="Times New Roman"/>
          <w:sz w:val="28"/>
          <w:szCs w:val="28"/>
          <w:lang w:val="kk-KZ"/>
        </w:rPr>
        <w:t>.</w:t>
      </w:r>
    </w:p>
    <w:p w:rsidR="001E198F" w:rsidRPr="00A93278" w:rsidRDefault="001E198F" w:rsidP="00755EA4">
      <w:pPr>
        <w:tabs>
          <w:tab w:val="left" w:pos="142"/>
        </w:tabs>
        <w:spacing w:after="0" w:line="360" w:lineRule="auto"/>
        <w:ind w:firstLine="709"/>
        <w:contextualSpacing/>
        <w:jc w:val="both"/>
        <w:rPr>
          <w:rFonts w:ascii="Times New Roman" w:hAnsi="Times New Roman"/>
          <w:color w:val="000000"/>
          <w:spacing w:val="2"/>
          <w:sz w:val="28"/>
          <w:szCs w:val="28"/>
          <w:shd w:val="clear" w:color="auto" w:fill="FFFFFF"/>
          <w:lang w:val="kk-KZ"/>
        </w:rPr>
      </w:pPr>
      <w:r w:rsidRPr="00A93278">
        <w:rPr>
          <w:rFonts w:ascii="Times New Roman" w:hAnsi="Times New Roman"/>
          <w:color w:val="000000"/>
          <w:spacing w:val="2"/>
          <w:sz w:val="28"/>
          <w:szCs w:val="28"/>
          <w:shd w:val="clear" w:color="auto" w:fill="FFFFFF"/>
          <w:lang w:val="kk-KZ"/>
        </w:rPr>
        <w:t>Пікір білдіру бостандығы мен өшпенділікті насихаттау арасындағы қатынас сұрағында негізгі құжат азаматтық және саяси құқықтар жайлы халықаралық пакт болып табылады. Пакттың 18,19 баптарының негізі болып пікір білдіру бостандығы алынады, бірақ іс жүзінде бұл абсолютті еместігі айтылатынықтан оларды біріктіріп тұжырамдауға болады.</w:t>
      </w:r>
    </w:p>
    <w:p w:rsidR="001E198F" w:rsidRPr="00A93278" w:rsidRDefault="001E198F" w:rsidP="00755EA4">
      <w:pPr>
        <w:tabs>
          <w:tab w:val="left" w:pos="142"/>
        </w:tabs>
        <w:spacing w:after="0" w:line="360" w:lineRule="auto"/>
        <w:ind w:firstLine="709"/>
        <w:contextualSpacing/>
        <w:jc w:val="both"/>
        <w:rPr>
          <w:rFonts w:ascii="Times New Roman" w:hAnsi="Times New Roman"/>
          <w:color w:val="000000"/>
          <w:spacing w:val="2"/>
          <w:sz w:val="28"/>
          <w:szCs w:val="28"/>
          <w:shd w:val="clear" w:color="auto" w:fill="FFFFFF"/>
          <w:lang w:val="kk-KZ"/>
        </w:rPr>
      </w:pPr>
      <w:r w:rsidRPr="00A93278">
        <w:rPr>
          <w:rFonts w:ascii="Times New Roman" w:hAnsi="Times New Roman"/>
          <w:color w:val="000000"/>
          <w:spacing w:val="2"/>
          <w:sz w:val="28"/>
          <w:szCs w:val="28"/>
          <w:shd w:val="clear" w:color="auto" w:fill="FFFFFF"/>
          <w:lang w:val="kk-KZ"/>
        </w:rPr>
        <w:t xml:space="preserve">19 </w:t>
      </w:r>
      <w:r w:rsidRPr="00A93278">
        <w:rPr>
          <w:rFonts w:ascii="Times New Roman" w:hAnsi="Times New Roman"/>
          <w:color w:val="000000"/>
          <w:spacing w:val="2"/>
          <w:sz w:val="28"/>
          <w:szCs w:val="28"/>
          <w:shd w:val="clear" w:color="auto" w:fill="FFFFFF"/>
        </w:rPr>
        <w:t xml:space="preserve">бап: </w:t>
      </w:r>
    </w:p>
    <w:p w:rsidR="001E198F" w:rsidRPr="00A93278" w:rsidRDefault="001E198F" w:rsidP="00755EA4">
      <w:pPr>
        <w:pStyle w:val="ListParagraph"/>
        <w:numPr>
          <w:ilvl w:val="0"/>
          <w:numId w:val="2"/>
        </w:numPr>
        <w:tabs>
          <w:tab w:val="left" w:pos="142"/>
        </w:tabs>
        <w:spacing w:after="0" w:line="360" w:lineRule="auto"/>
        <w:ind w:left="0" w:firstLine="851"/>
        <w:jc w:val="both"/>
        <w:rPr>
          <w:color w:val="000000"/>
          <w:spacing w:val="2"/>
          <w:szCs w:val="28"/>
          <w:lang w:val="kk-KZ"/>
        </w:rPr>
      </w:pPr>
      <w:r w:rsidRPr="00A93278">
        <w:rPr>
          <w:color w:val="000000"/>
          <w:spacing w:val="2"/>
          <w:szCs w:val="28"/>
          <w:shd w:val="clear" w:color="auto" w:fill="FFFFFF"/>
          <w:lang w:val="kk-KZ"/>
        </w:rPr>
        <w:t>Әрбір адам өз ой-пiкiрiн еш кедергiсіз ұстануға құқылы.</w:t>
      </w:r>
      <w:bookmarkStart w:id="0" w:name="z163"/>
      <w:bookmarkEnd w:id="0"/>
    </w:p>
    <w:p w:rsidR="001E198F" w:rsidRPr="00A93278" w:rsidRDefault="001E198F" w:rsidP="00755EA4">
      <w:pPr>
        <w:pStyle w:val="ListParagraph"/>
        <w:numPr>
          <w:ilvl w:val="0"/>
          <w:numId w:val="2"/>
        </w:numPr>
        <w:tabs>
          <w:tab w:val="left" w:pos="142"/>
        </w:tabs>
        <w:spacing w:after="0" w:line="360" w:lineRule="auto"/>
        <w:ind w:left="0" w:firstLine="851"/>
        <w:jc w:val="both"/>
        <w:rPr>
          <w:color w:val="000000"/>
          <w:spacing w:val="2"/>
          <w:szCs w:val="28"/>
          <w:shd w:val="clear" w:color="auto" w:fill="FFFFFF"/>
          <w:lang w:val="kk-KZ"/>
        </w:rPr>
      </w:pPr>
      <w:r w:rsidRPr="00A93278">
        <w:rPr>
          <w:color w:val="000000"/>
          <w:spacing w:val="2"/>
          <w:szCs w:val="28"/>
          <w:shd w:val="clear" w:color="auto" w:fill="FFFFFF"/>
          <w:lang w:val="kk-KZ"/>
        </w:rPr>
        <w:t>Әрбір адам өз пiкiрiн еркiн бiлдiруге құқылы. Бұл құқық мемлекеттік шекараларға қарамастан кез келген ақпараттар мен идеяларды еркiн iздеу, тауып алу және оларды өз қалауынша таңдап алған құралдар арқылы ауызша, жазбаша немесе баспасөз арқылы немесе көркемдiк бейнелеу формалары түрiнде тарату бостандығын да қамтиды.</w:t>
      </w:r>
    </w:p>
    <w:p w:rsidR="001E198F" w:rsidRPr="00A93278" w:rsidRDefault="001E198F" w:rsidP="00755EA4">
      <w:pPr>
        <w:pStyle w:val="ListParagraph"/>
        <w:numPr>
          <w:ilvl w:val="0"/>
          <w:numId w:val="2"/>
        </w:numPr>
        <w:tabs>
          <w:tab w:val="left" w:pos="142"/>
        </w:tabs>
        <w:spacing w:after="0" w:line="360" w:lineRule="auto"/>
        <w:ind w:left="0" w:firstLine="851"/>
        <w:jc w:val="both"/>
        <w:rPr>
          <w:szCs w:val="28"/>
          <w:lang w:val="kk-KZ"/>
        </w:rPr>
      </w:pPr>
      <w:r w:rsidRPr="00A93278">
        <w:rPr>
          <w:color w:val="000000"/>
          <w:spacing w:val="2"/>
          <w:szCs w:val="28"/>
          <w:shd w:val="clear" w:color="auto" w:fill="FFFFFF"/>
          <w:lang w:val="kk-KZ"/>
        </w:rPr>
        <w:t>Осы баптың 2-шi тармағында көзделген құқықтарды қолдану ерекше мiндеттер мен ерекше жауапкершiлiктi жүктейдi. Сондықтан оларды қолдану кезiнде кейбір шектеулердiң кездесуi мүмкiн, алайда ондай шектеулер заңмен белгiленiп және:</w:t>
      </w:r>
    </w:p>
    <w:p w:rsidR="001E198F" w:rsidRDefault="001E198F" w:rsidP="00755EA4">
      <w:pPr>
        <w:pStyle w:val="ListParagraph"/>
        <w:tabs>
          <w:tab w:val="left" w:pos="142"/>
        </w:tabs>
        <w:spacing w:after="0" w:line="360" w:lineRule="auto"/>
        <w:ind w:left="0" w:firstLine="851"/>
        <w:jc w:val="both"/>
        <w:rPr>
          <w:color w:val="000000"/>
          <w:spacing w:val="2"/>
          <w:szCs w:val="28"/>
          <w:lang w:val="kk-KZ"/>
        </w:rPr>
      </w:pPr>
      <w:bookmarkStart w:id="1" w:name="z165"/>
      <w:bookmarkEnd w:id="1"/>
      <w:r w:rsidRPr="00A93278">
        <w:rPr>
          <w:color w:val="000000"/>
          <w:spacing w:val="2"/>
          <w:szCs w:val="28"/>
          <w:shd w:val="clear" w:color="auto" w:fill="FFFFFF"/>
          <w:lang w:val="kk-KZ"/>
        </w:rPr>
        <w:t>а) басқа тұлғалардың құқықтары мен абырой-беделiн құрметтеу;</w:t>
      </w:r>
      <w:bookmarkStart w:id="2" w:name="z166"/>
      <w:bookmarkEnd w:id="2"/>
    </w:p>
    <w:p w:rsidR="001E198F" w:rsidRPr="00A93278" w:rsidRDefault="001E198F" w:rsidP="00755EA4">
      <w:pPr>
        <w:pStyle w:val="ListParagraph"/>
        <w:tabs>
          <w:tab w:val="left" w:pos="142"/>
        </w:tabs>
        <w:spacing w:after="0" w:line="360" w:lineRule="auto"/>
        <w:ind w:left="0" w:firstLine="851"/>
        <w:jc w:val="both"/>
        <w:rPr>
          <w:szCs w:val="28"/>
          <w:lang w:val="kk-KZ"/>
        </w:rPr>
      </w:pPr>
      <w:r w:rsidRPr="00A93278">
        <w:rPr>
          <w:color w:val="000000"/>
          <w:spacing w:val="2"/>
          <w:szCs w:val="28"/>
          <w:shd w:val="clear" w:color="auto" w:fill="FFFFFF"/>
          <w:lang w:val="kk-KZ"/>
        </w:rPr>
        <w:t>b) мемлекеттік қауiпсіздiктi, қоғамдық тәртiптi, жұртшылықтың денсаулығын немесе имандылығын қорғау қажеттілігiнен туындауы тиiс</w:t>
      </w:r>
      <w:r w:rsidRPr="00971947">
        <w:rPr>
          <w:color w:val="000000"/>
          <w:spacing w:val="2"/>
          <w:szCs w:val="28"/>
          <w:shd w:val="clear" w:color="auto" w:fill="FFFFFF"/>
          <w:lang w:val="kk-KZ"/>
        </w:rPr>
        <w:t>[3]</w:t>
      </w:r>
      <w:r w:rsidRPr="00A93278">
        <w:rPr>
          <w:color w:val="000000"/>
          <w:spacing w:val="2"/>
          <w:szCs w:val="28"/>
          <w:shd w:val="clear" w:color="auto" w:fill="FFFFFF"/>
          <w:lang w:val="kk-KZ"/>
        </w:rPr>
        <w:t>.</w:t>
      </w:r>
    </w:p>
    <w:p w:rsidR="001E198F" w:rsidRPr="00A93278" w:rsidRDefault="001E198F" w:rsidP="00755EA4">
      <w:pPr>
        <w:tabs>
          <w:tab w:val="left" w:pos="142"/>
        </w:tabs>
        <w:spacing w:after="0" w:line="360" w:lineRule="auto"/>
        <w:ind w:firstLine="142"/>
        <w:contextualSpacing/>
        <w:jc w:val="both"/>
        <w:rPr>
          <w:rFonts w:ascii="Times New Roman" w:hAnsi="Times New Roman"/>
          <w:sz w:val="28"/>
          <w:szCs w:val="28"/>
          <w:lang w:val="kk-KZ"/>
        </w:rPr>
      </w:pPr>
      <w:r w:rsidRPr="00A93278">
        <w:rPr>
          <w:rFonts w:ascii="Times New Roman" w:hAnsi="Times New Roman"/>
          <w:sz w:val="28"/>
          <w:szCs w:val="28"/>
          <w:lang w:val="kk-KZ"/>
        </w:rPr>
        <w:t>Осыған байланысты  20-бапта келесі ескертулер айтылған:</w:t>
      </w:r>
    </w:p>
    <w:p w:rsidR="001E198F" w:rsidRPr="00A93278" w:rsidRDefault="001E198F" w:rsidP="00755EA4">
      <w:pPr>
        <w:pStyle w:val="ListParagraph"/>
        <w:numPr>
          <w:ilvl w:val="0"/>
          <w:numId w:val="3"/>
        </w:numPr>
        <w:tabs>
          <w:tab w:val="left" w:pos="142"/>
        </w:tabs>
        <w:spacing w:after="0" w:line="360" w:lineRule="auto"/>
        <w:ind w:left="426" w:firstLine="425"/>
        <w:jc w:val="both"/>
        <w:rPr>
          <w:szCs w:val="28"/>
          <w:lang w:val="kk-KZ"/>
        </w:rPr>
      </w:pPr>
      <w:r w:rsidRPr="00A93278">
        <w:rPr>
          <w:color w:val="000000"/>
          <w:spacing w:val="2"/>
          <w:szCs w:val="28"/>
          <w:shd w:val="clear" w:color="auto" w:fill="FFFFFF"/>
          <w:lang w:val="kk-KZ"/>
        </w:rPr>
        <w:t>Соғысты қандай түрде болса да насихаттауға заң тұрғысынан тыйым салынуы тиiс.</w:t>
      </w:r>
    </w:p>
    <w:p w:rsidR="001E198F" w:rsidRPr="00A93278" w:rsidRDefault="001E198F" w:rsidP="00755EA4">
      <w:pPr>
        <w:pStyle w:val="ListParagraph"/>
        <w:numPr>
          <w:ilvl w:val="0"/>
          <w:numId w:val="3"/>
        </w:numPr>
        <w:tabs>
          <w:tab w:val="left" w:pos="142"/>
        </w:tabs>
        <w:spacing w:after="0" w:line="360" w:lineRule="auto"/>
        <w:ind w:left="426" w:firstLine="425"/>
        <w:jc w:val="both"/>
        <w:rPr>
          <w:szCs w:val="28"/>
          <w:lang w:val="kk-KZ"/>
        </w:rPr>
      </w:pPr>
      <w:r w:rsidRPr="00A93278">
        <w:rPr>
          <w:color w:val="000000"/>
          <w:spacing w:val="2"/>
          <w:szCs w:val="28"/>
          <w:shd w:val="clear" w:color="auto" w:fill="FFFFFF"/>
          <w:lang w:val="kk-KZ"/>
        </w:rPr>
        <w:t>Ұлттық, нәсiлдiк немесе дiни өшпендiлiкке әкелiп соғатын, өздiгiнен кемсiтуге, араздыққа немесе зорлық-зомбылыққа арандатушылық болып табылатын қандай да бір үгiт жүргiзуге заң тұрғысынан тыйым салынуы тиiс.</w:t>
      </w:r>
    </w:p>
    <w:p w:rsidR="001E198F" w:rsidRDefault="001E198F" w:rsidP="00755EA4">
      <w:pPr>
        <w:tabs>
          <w:tab w:val="left" w:pos="142"/>
        </w:tabs>
        <w:spacing w:after="0" w:line="360" w:lineRule="auto"/>
        <w:ind w:firstLine="709"/>
        <w:contextualSpacing/>
        <w:jc w:val="both"/>
        <w:rPr>
          <w:rFonts w:ascii="Times New Roman" w:hAnsi="Times New Roman"/>
          <w:color w:val="000000"/>
          <w:sz w:val="28"/>
          <w:szCs w:val="28"/>
          <w:shd w:val="clear" w:color="auto" w:fill="FFFFFF"/>
          <w:lang w:val="kk-KZ"/>
        </w:rPr>
      </w:pPr>
      <w:r w:rsidRPr="00A93278">
        <w:rPr>
          <w:rFonts w:ascii="Times New Roman" w:hAnsi="Times New Roman"/>
          <w:sz w:val="28"/>
          <w:szCs w:val="28"/>
          <w:lang w:val="kk-KZ"/>
        </w:rPr>
        <w:t>Осы жерде айта кететін жайт, жек көрушілікті қозғайтың 20  баптағы ерекшелік, 19 баптағы пікір бостандығына байланысты және кері емес сөз бостандығы бап үшін ерекшелік болмайды. Және баптың тұжырымдамасы белгілі бір компоненттер жиынын қамтиды: жай сөз қозғауларға қатысты емес, тек ұлттық, нәсілдік және діни жек көрушілікті насихаттау, белгілі бір шара қолдануға шақырулар қастық пен зорлықты насихаттауды айтамыз. 20 баптағы тыйым салу нормасы, ары қарай өз дамуын нәсілдік дискриминаци</w:t>
      </w:r>
      <w:r w:rsidRPr="00A93278">
        <w:rPr>
          <w:rFonts w:ascii="Times New Roman" w:hAnsi="Times New Roman"/>
          <w:color w:val="000000"/>
          <w:sz w:val="28"/>
          <w:szCs w:val="28"/>
          <w:shd w:val="clear" w:color="auto" w:fill="FFFFFF"/>
          <w:lang w:val="kk-KZ"/>
        </w:rPr>
        <w:t>яның барлық формаларын жою жайлы Халықаралық конвенциясында табады</w:t>
      </w:r>
    </w:p>
    <w:p w:rsidR="001E198F" w:rsidRDefault="001E198F" w:rsidP="00755EA4">
      <w:pPr>
        <w:tabs>
          <w:tab w:val="left" w:pos="142"/>
        </w:tabs>
        <w:spacing w:after="0" w:line="360" w:lineRule="auto"/>
        <w:ind w:firstLine="709"/>
        <w:contextualSpacing/>
        <w:jc w:val="both"/>
        <w:rPr>
          <w:rFonts w:ascii="Times New Roman" w:hAnsi="Times New Roman"/>
          <w:color w:val="000000"/>
          <w:spacing w:val="2"/>
          <w:sz w:val="28"/>
          <w:szCs w:val="28"/>
          <w:shd w:val="clear" w:color="auto" w:fill="FFFFFF"/>
          <w:lang w:val="kk-KZ"/>
        </w:rPr>
      </w:pPr>
      <w:r>
        <w:rPr>
          <w:rFonts w:ascii="Times New Roman" w:hAnsi="Times New Roman"/>
          <w:color w:val="000000"/>
          <w:sz w:val="28"/>
          <w:szCs w:val="28"/>
          <w:shd w:val="clear" w:color="auto" w:fill="FFFFFF"/>
          <w:lang w:val="kk-KZ"/>
        </w:rPr>
        <w:t xml:space="preserve">Жалпы, жоғарыда келтірілген ақпарат негізінде жеке тұлғаға қауіп төндіретін контент деп жеке адамға тікелей қолданылған дөрекі сөздерді, сонымен қатар </w:t>
      </w:r>
      <w:r w:rsidRPr="00A93278">
        <w:rPr>
          <w:rFonts w:ascii="Times New Roman" w:hAnsi="Times New Roman"/>
          <w:sz w:val="28"/>
          <w:szCs w:val="28"/>
          <w:lang w:val="kk-KZ"/>
        </w:rPr>
        <w:t>ұлттық, нәсілдік және діни жек көрушілікті насихаттау, белгілі бір шара қолдануға шақырулар қастық пен зорлықты насихаттау</w:t>
      </w:r>
      <w:r>
        <w:rPr>
          <w:rFonts w:ascii="Times New Roman" w:hAnsi="Times New Roman"/>
          <w:sz w:val="28"/>
          <w:szCs w:val="28"/>
          <w:lang w:val="kk-KZ"/>
        </w:rPr>
        <w:t xml:space="preserve"> мазмұнында жазылған контентті айта аламыз. </w:t>
      </w:r>
    </w:p>
    <w:p w:rsidR="001E198F" w:rsidRDefault="001E198F" w:rsidP="00755EA4">
      <w:pPr>
        <w:spacing w:after="0" w:line="360" w:lineRule="auto"/>
        <w:ind w:firstLine="709"/>
        <w:jc w:val="both"/>
        <w:rPr>
          <w:rFonts w:ascii="Times New Roman" w:hAnsi="Times New Roman"/>
          <w:sz w:val="28"/>
          <w:szCs w:val="28"/>
          <w:lang w:val="kk-KZ"/>
        </w:rPr>
      </w:pPr>
      <w:r>
        <w:rPr>
          <w:rFonts w:ascii="Times New Roman" w:hAnsi="Times New Roman"/>
          <w:color w:val="000000"/>
          <w:spacing w:val="2"/>
          <w:sz w:val="28"/>
          <w:szCs w:val="28"/>
          <w:shd w:val="clear" w:color="auto" w:fill="FFFFFF"/>
          <w:lang w:val="kk-KZ"/>
        </w:rPr>
        <w:t xml:space="preserve">Осындай, </w:t>
      </w:r>
      <w:r>
        <w:rPr>
          <w:rFonts w:ascii="Times New Roman" w:hAnsi="Times New Roman"/>
          <w:sz w:val="28"/>
          <w:szCs w:val="28"/>
          <w:lang w:val="kk-KZ"/>
        </w:rPr>
        <w:t>ә</w:t>
      </w:r>
      <w:r w:rsidRPr="001A1206">
        <w:rPr>
          <w:rFonts w:ascii="Times New Roman" w:hAnsi="Times New Roman"/>
          <w:sz w:val="28"/>
          <w:szCs w:val="28"/>
          <w:lang w:val="kk-KZ"/>
        </w:rPr>
        <w:t xml:space="preserve">лемдегі </w:t>
      </w:r>
      <w:r w:rsidRPr="00A93278">
        <w:rPr>
          <w:rFonts w:ascii="Times New Roman" w:hAnsi="Times New Roman"/>
          <w:sz w:val="28"/>
          <w:szCs w:val="28"/>
          <w:lang w:val="kk-KZ"/>
        </w:rPr>
        <w:t>жеке тұлғала</w:t>
      </w:r>
      <w:r>
        <w:rPr>
          <w:rFonts w:ascii="Times New Roman" w:hAnsi="Times New Roman"/>
          <w:sz w:val="28"/>
          <w:szCs w:val="28"/>
          <w:lang w:val="kk-KZ"/>
        </w:rPr>
        <w:t xml:space="preserve">рға қауіп төндіретін контенттің, яғни пікірдің, </w:t>
      </w:r>
      <w:r w:rsidRPr="00A93278">
        <w:rPr>
          <w:rFonts w:ascii="Times New Roman" w:hAnsi="Times New Roman"/>
          <w:sz w:val="28"/>
          <w:szCs w:val="28"/>
          <w:lang w:val="kk-KZ"/>
        </w:rPr>
        <w:t>ақпараттық қауіпсіздігін бағалау</w:t>
      </w:r>
      <w:r>
        <w:rPr>
          <w:rFonts w:ascii="Times New Roman" w:hAnsi="Times New Roman"/>
          <w:sz w:val="28"/>
          <w:szCs w:val="28"/>
          <w:lang w:val="kk-KZ"/>
        </w:rPr>
        <w:t xml:space="preserve"> және реттеу тәжірибесіне сүйене отырып, пікір алмасудың, контенттің ақпараттың қауіпсіздігін қадағалап отыру, яғни мониторингі қаншалықты маңызды және өзекті екенін көре аламыз</w:t>
      </w:r>
      <w:r w:rsidRPr="00971947">
        <w:rPr>
          <w:rFonts w:ascii="Times New Roman" w:hAnsi="Times New Roman"/>
          <w:sz w:val="28"/>
          <w:szCs w:val="28"/>
          <w:lang w:val="kk-KZ"/>
        </w:rPr>
        <w:t>[2]</w:t>
      </w:r>
      <w:r>
        <w:rPr>
          <w:rFonts w:ascii="Times New Roman" w:hAnsi="Times New Roman"/>
          <w:sz w:val="28"/>
          <w:szCs w:val="28"/>
          <w:lang w:val="kk-KZ"/>
        </w:rPr>
        <w:t xml:space="preserve">. </w:t>
      </w:r>
    </w:p>
    <w:p w:rsidR="001E198F" w:rsidRDefault="001E198F" w:rsidP="00755EA4">
      <w:pPr>
        <w:spacing w:after="0" w:line="360" w:lineRule="auto"/>
        <w:ind w:firstLine="709"/>
        <w:jc w:val="both"/>
        <w:rPr>
          <w:rFonts w:ascii="Times New Roman" w:hAnsi="Times New Roman"/>
          <w:sz w:val="28"/>
          <w:szCs w:val="28"/>
          <w:lang w:val="kk-KZ"/>
        </w:rPr>
      </w:pPr>
      <w:r>
        <w:rPr>
          <w:rFonts w:ascii="Times New Roman" w:hAnsi="Times New Roman"/>
          <w:sz w:val="28"/>
          <w:szCs w:val="28"/>
          <w:lang w:val="kk-KZ"/>
        </w:rPr>
        <w:t xml:space="preserve">Жеке тұлғаларға қауіп төндіретін </w:t>
      </w:r>
      <w:r w:rsidRPr="001A1206">
        <w:rPr>
          <w:rFonts w:ascii="Times New Roman" w:hAnsi="Times New Roman"/>
          <w:sz w:val="28"/>
          <w:szCs w:val="28"/>
          <w:lang w:val="kk-KZ"/>
        </w:rPr>
        <w:t xml:space="preserve">контентті </w:t>
      </w:r>
      <w:r>
        <w:rPr>
          <w:rFonts w:ascii="Times New Roman" w:hAnsi="Times New Roman"/>
          <w:sz w:val="28"/>
          <w:szCs w:val="28"/>
          <w:lang w:val="kk-KZ"/>
        </w:rPr>
        <w:t xml:space="preserve">бағалау және </w:t>
      </w:r>
      <w:r w:rsidRPr="001A1206">
        <w:rPr>
          <w:rFonts w:ascii="Times New Roman" w:hAnsi="Times New Roman"/>
          <w:sz w:val="28"/>
          <w:szCs w:val="28"/>
          <w:lang w:val="kk-KZ"/>
        </w:rPr>
        <w:t xml:space="preserve">анықтау үшін </w:t>
      </w:r>
      <w:r>
        <w:rPr>
          <w:rFonts w:ascii="Times New Roman" w:hAnsi="Times New Roman"/>
          <w:sz w:val="28"/>
          <w:szCs w:val="28"/>
          <w:lang w:val="kk-KZ"/>
        </w:rPr>
        <w:t>онтология құруды қарастырамыз. Жалпы, о</w:t>
      </w:r>
      <w:r w:rsidRPr="007E16D3">
        <w:rPr>
          <w:rFonts w:ascii="Times New Roman" w:hAnsi="Times New Roman"/>
          <w:sz w:val="28"/>
          <w:szCs w:val="28"/>
          <w:lang w:val="kk-KZ"/>
        </w:rPr>
        <w:t>нтология- қарастырылатын логикалық тілдің моделде</w:t>
      </w:r>
      <w:r>
        <w:rPr>
          <w:rFonts w:ascii="Times New Roman" w:hAnsi="Times New Roman"/>
          <w:sz w:val="28"/>
          <w:szCs w:val="28"/>
          <w:lang w:val="kk-KZ"/>
        </w:rPr>
        <w:t>рін шектейтің логикалық теория</w:t>
      </w:r>
      <w:r w:rsidRPr="007E16D3">
        <w:rPr>
          <w:rFonts w:ascii="Times New Roman" w:hAnsi="Times New Roman"/>
          <w:sz w:val="28"/>
          <w:szCs w:val="28"/>
          <w:lang w:val="kk-KZ"/>
        </w:rPr>
        <w:t>. Осыған сәйкес онтология түсініктер мен қатынастардың егжей-тегжейлі жиынынан кең ұғым екеніне көз жеткіземіз. Онтологияға қатынастар мен түсініктерден бөлек, берілген аяда қолданылатын қатынастарға шектеулер де қосылады. Бұл түсініктердің базасы мен олардың арасындағы қатынастарға негізделетін аксиомалар жиыны.</w:t>
      </w:r>
    </w:p>
    <w:p w:rsidR="001E198F" w:rsidRPr="007E16D3" w:rsidRDefault="001E198F" w:rsidP="00755EA4">
      <w:pPr>
        <w:spacing w:after="0" w:line="360" w:lineRule="auto"/>
        <w:ind w:firstLine="709"/>
        <w:jc w:val="both"/>
        <w:rPr>
          <w:rFonts w:ascii="Times New Roman" w:hAnsi="Times New Roman"/>
          <w:color w:val="000000"/>
          <w:sz w:val="28"/>
          <w:szCs w:val="28"/>
          <w:lang w:val="kk-KZ"/>
        </w:rPr>
      </w:pPr>
      <w:r w:rsidRPr="007E16D3">
        <w:rPr>
          <w:rFonts w:ascii="Times New Roman" w:hAnsi="Times New Roman"/>
          <w:sz w:val="28"/>
          <w:szCs w:val="28"/>
          <w:lang w:val="kk-KZ"/>
        </w:rPr>
        <w:t xml:space="preserve">Келесі ретте </w:t>
      </w:r>
      <w:r w:rsidRPr="007E16D3">
        <w:rPr>
          <w:rFonts w:ascii="Times New Roman" w:hAnsi="Times New Roman"/>
          <w:color w:val="000000"/>
          <w:sz w:val="28"/>
          <w:szCs w:val="28"/>
          <w:lang w:val="kk-KZ"/>
        </w:rPr>
        <w:t>сентимент-анализ. Сентимент-анализ мәтін</w:t>
      </w:r>
      <w:r>
        <w:rPr>
          <w:rFonts w:ascii="Times New Roman" w:hAnsi="Times New Roman"/>
          <w:color w:val="000000"/>
          <w:sz w:val="28"/>
          <w:szCs w:val="28"/>
          <w:lang w:val="kk-KZ"/>
        </w:rPr>
        <w:t>нің интеллектуалды анализінің бі</w:t>
      </w:r>
      <w:r w:rsidRPr="007E16D3">
        <w:rPr>
          <w:rFonts w:ascii="Times New Roman" w:hAnsi="Times New Roman"/>
          <w:color w:val="000000"/>
          <w:sz w:val="28"/>
          <w:szCs w:val="28"/>
          <w:lang w:val="kk-KZ"/>
        </w:rPr>
        <w:t>р түрі болып табылады.</w:t>
      </w:r>
    </w:p>
    <w:p w:rsidR="001E198F" w:rsidRPr="007E16D3" w:rsidRDefault="001E198F" w:rsidP="00755EA4">
      <w:pPr>
        <w:spacing w:after="0" w:line="360" w:lineRule="auto"/>
        <w:ind w:firstLine="709"/>
        <w:jc w:val="both"/>
        <w:rPr>
          <w:rFonts w:ascii="Times New Roman" w:hAnsi="Times New Roman"/>
          <w:noProof/>
          <w:sz w:val="28"/>
          <w:szCs w:val="28"/>
          <w:lang w:val="kk-KZ"/>
        </w:rPr>
      </w:pPr>
      <w:r w:rsidRPr="007E16D3">
        <w:rPr>
          <w:rFonts w:ascii="Times New Roman" w:hAnsi="Times New Roman"/>
          <w:noProof/>
          <w:sz w:val="28"/>
          <w:szCs w:val="28"/>
          <w:lang w:val="kk-KZ"/>
        </w:rPr>
        <w:t>Сентимент анализ-мәтіннің тональдылығын табиғи тілді өндеу, статистика, машиналық оқыту әдістері көмегімен анықтау. Кей-кезде opinion mining деп де аталады, бірақ бұл жағдайда көңіл қажетті мәтін бөлігін алуға бөлінеді. Бұл технология жаналықтарды, өнімдерді, есімнамаларды, ұйымдарды, мемлекеттерді және т.б автоматты бағалау үшін қолданылады. Сентимент анализдің өзге мақсаты: пікірлердегі спамды анықтау, пікірлердің тиімділігін талдау, салыстыруларды іздеу, аспекттерді алу болып табылады.</w:t>
      </w:r>
    </w:p>
    <w:p w:rsidR="001E198F" w:rsidRDefault="001E198F" w:rsidP="00755EA4">
      <w:pPr>
        <w:spacing w:after="0" w:line="360" w:lineRule="auto"/>
        <w:ind w:firstLine="709"/>
        <w:jc w:val="both"/>
        <w:rPr>
          <w:rFonts w:ascii="Times New Roman" w:hAnsi="Times New Roman"/>
          <w:sz w:val="28"/>
          <w:szCs w:val="28"/>
          <w:lang w:val="kk-KZ"/>
        </w:rPr>
      </w:pPr>
      <w:r>
        <w:rPr>
          <w:rFonts w:ascii="Times New Roman" w:hAnsi="Times New Roman"/>
          <w:sz w:val="28"/>
          <w:szCs w:val="28"/>
          <w:lang w:val="kk-KZ"/>
        </w:rPr>
        <w:t>Осы әдістрді қолдана отыра, магистрлік диссертация нәижесінде ә</w:t>
      </w:r>
      <w:r w:rsidRPr="00A93278">
        <w:rPr>
          <w:rFonts w:ascii="Times New Roman" w:hAnsi="Times New Roman"/>
          <w:sz w:val="28"/>
          <w:szCs w:val="28"/>
          <w:lang w:val="kk-KZ"/>
        </w:rPr>
        <w:t>леуметтік желіде жеке тұлғаларға қауіп төндіретін конт</w:t>
      </w:r>
      <w:r>
        <w:rPr>
          <w:rFonts w:ascii="Times New Roman" w:hAnsi="Times New Roman"/>
          <w:sz w:val="28"/>
          <w:szCs w:val="28"/>
          <w:lang w:val="kk-KZ"/>
        </w:rPr>
        <w:t>енттің ақпараттық қауіпсіздігін анықтап, мониторингін жүргізіп, бағалай алатын боламыз.</w:t>
      </w:r>
    </w:p>
    <w:p w:rsidR="001E198F" w:rsidRPr="003E0A33" w:rsidRDefault="001E198F" w:rsidP="003E0A33">
      <w:pPr>
        <w:tabs>
          <w:tab w:val="left" w:pos="142"/>
          <w:tab w:val="left" w:pos="2814"/>
        </w:tabs>
        <w:spacing w:after="100" w:afterAutospacing="1" w:line="360" w:lineRule="auto"/>
        <w:ind w:right="-1" w:firstLine="709"/>
        <w:contextualSpacing/>
        <w:jc w:val="both"/>
        <w:rPr>
          <w:rFonts w:ascii="Times New Roman" w:hAnsi="Times New Roman"/>
          <w:sz w:val="28"/>
          <w:szCs w:val="28"/>
          <w:lang w:val="kk-KZ"/>
        </w:rPr>
      </w:pPr>
      <w:r>
        <w:rPr>
          <w:rFonts w:ascii="Times New Roman" w:hAnsi="Times New Roman"/>
          <w:sz w:val="28"/>
          <w:szCs w:val="28"/>
          <w:lang w:val="kk-KZ"/>
        </w:rPr>
        <w:t xml:space="preserve">Қорытындылай келе, қазіргі технология дамыған заманда </w:t>
      </w:r>
      <w:r w:rsidRPr="003E0A33">
        <w:rPr>
          <w:rFonts w:ascii="Times New Roman" w:hAnsi="Times New Roman"/>
          <w:sz w:val="28"/>
          <w:szCs w:val="28"/>
          <w:lang w:val="kk-KZ"/>
        </w:rPr>
        <w:t>интернетті пайдаланып жалған ақпарат тарату, жеке тұлғалар жайлы ақпарат алу интернетті өзінің қара ниетіне пайдаланатын адамдардың саны артты. Интернет адамдардың пікірлеріне ойларына тікелей әсер ету дәрежесіне жетті. Көптеген экстремитті ұйымдар өзінің жаңа мүшелерін интернет желісінде үгіттеу арқылы т</w:t>
      </w:r>
      <w:r>
        <w:rPr>
          <w:rFonts w:ascii="Times New Roman" w:hAnsi="Times New Roman"/>
          <w:sz w:val="28"/>
          <w:szCs w:val="28"/>
          <w:lang w:val="kk-KZ"/>
        </w:rPr>
        <w:t>апты. Сонымен қатар, Қазақстан Р</w:t>
      </w:r>
      <w:r w:rsidRPr="003E0A33">
        <w:rPr>
          <w:rFonts w:ascii="Times New Roman" w:hAnsi="Times New Roman"/>
          <w:sz w:val="28"/>
          <w:szCs w:val="28"/>
          <w:lang w:val="kk-KZ"/>
        </w:rPr>
        <w:t xml:space="preserve">еспубликасы сияқты көп-этносты мемлекет үшін, ұлтаралық алауыздықтың өршу қаупі пайда болды.  Алайда адамдарға өз пікірін айтуғы тыйым сала алмаймыз. Бұл жерде сөз бостандығы мен оны шектеу сұрақтарына көп мән берілуі тиіс. </w:t>
      </w:r>
      <w:r>
        <w:rPr>
          <w:rFonts w:ascii="Times New Roman" w:hAnsi="Times New Roman"/>
          <w:sz w:val="28"/>
          <w:szCs w:val="28"/>
          <w:lang w:val="kk-KZ"/>
        </w:rPr>
        <w:t>Мақала барысында с</w:t>
      </w:r>
      <w:r w:rsidRPr="003E0A33">
        <w:rPr>
          <w:rFonts w:ascii="Times New Roman" w:hAnsi="Times New Roman"/>
          <w:sz w:val="28"/>
          <w:szCs w:val="28"/>
          <w:lang w:val="kk-KZ"/>
        </w:rPr>
        <w:t>өз бостандығы ұғымы қарастырылып, әлемдегі ұлтаралық, нәсілдік, діни алауыздықты туғызу мен ұшықтыруды шектеу туралы өзге мемлекеттердің тәжірибесін қарастырдық. Әсіресе, Азия-тынықмұхит аумағындағы мемлекеттердің тәжірибесіне көп мән берілді. Қазақстан Республикасының заңнамасы шеңберінде рұқсат берілмеген контентке анықтама беріліп классификацияланды</w:t>
      </w:r>
      <w:r w:rsidRPr="00971947">
        <w:rPr>
          <w:rFonts w:ascii="Times New Roman" w:hAnsi="Times New Roman"/>
          <w:sz w:val="28"/>
          <w:szCs w:val="28"/>
          <w:lang w:val="kk-KZ"/>
        </w:rPr>
        <w:t>[4]</w:t>
      </w:r>
      <w:r w:rsidRPr="003E0A33">
        <w:rPr>
          <w:rFonts w:ascii="Times New Roman" w:hAnsi="Times New Roman"/>
          <w:sz w:val="28"/>
          <w:szCs w:val="28"/>
          <w:lang w:val="kk-KZ"/>
        </w:rPr>
        <w:t>.</w:t>
      </w:r>
    </w:p>
    <w:p w:rsidR="001E198F" w:rsidRPr="003E0A33" w:rsidRDefault="001E198F" w:rsidP="003E0A33">
      <w:pPr>
        <w:tabs>
          <w:tab w:val="left" w:pos="142"/>
          <w:tab w:val="left" w:pos="2814"/>
        </w:tabs>
        <w:spacing w:after="100" w:afterAutospacing="1" w:line="360" w:lineRule="auto"/>
        <w:ind w:right="-1" w:firstLine="709"/>
        <w:contextualSpacing/>
        <w:jc w:val="both"/>
        <w:rPr>
          <w:rFonts w:ascii="Times New Roman" w:hAnsi="Times New Roman"/>
          <w:sz w:val="28"/>
          <w:szCs w:val="28"/>
          <w:lang w:val="kk-KZ"/>
        </w:rPr>
      </w:pPr>
      <w:r w:rsidRPr="003E0A33">
        <w:rPr>
          <w:rFonts w:ascii="Times New Roman" w:hAnsi="Times New Roman"/>
          <w:sz w:val="28"/>
          <w:szCs w:val="28"/>
          <w:lang w:val="kk-KZ"/>
        </w:rPr>
        <w:t>Контентті талдау, ақпаратты іздеу технологиялары зерттелді. Конттентті талдау ұғымы қарастырылды. Контентті талдау — медиа-мониторингтегі қазіргі заманғы кең таралған әдістеме. Ол мәтіннің мағынасын зерттеуге арналған талдама әдісі. Осы әдістеме арқылы зерттелініп отырған тақырыпқа сәйкес сөздер немесе ұғымдардың мәтінде кездесуі анықталады. Бұл жұмыста тыйым салынған контентке көп мән берілді. Тыйым салынған контент деп бұл сайттың немесе ақпараттық ресурстың мемлекет заңнамасына сәйкес қарауға және таратуға тыйым салынған ақпараттық мәні бар толтырмасы. Көбінесе ол сепаратисттік сипаттағы, терроризмге үгіттеу, порно, зорлық-зомбылық сипатта болады. Сентимент-анализ немесе мәтіннің тональдылығының анализі технологиясы қарастырылды. Жалпы, қазіргі заманда сентимент анализ мәтіндік құжаттармен жұмыс жасайтын қоғам интитуттарының үлкен қызығушылығына ие. Мәтіннің эмоциалды бояуы жалпы жағдайда көп өлшемді шама, және оны анықтау қуатты арнайы даййндалған сөздіктерді қажет етеді. Бұл жұмыс үшін тыйым салынған контентті анықтайтын ұғымдары бар онтология құрылды. Жалпы онтологиялар табиғи тілдегі деректерді өндеуді қажет ететін барлық салаларда қолданылады. Онтология деп белгілі бір пәндік саладағы қатынастармен біріктірілген болмыстардың жиынымен сипатталадын ұғымдардың жүйесі. Онтологиялар белгілі бір білім саласын сипаттайтын қатынастар мен ұғымдардың жиыны. Оның ең басты артықшылығы, ақпараттың құрылымданып ұсынылуы. Бұл ақпаратты компьютермен өндеуді әлде қайда жеңілдетеді. Біздің жағдайымызда, онтология компьютерлік қосымша үшін деректер қоры ретінде қолданылды.</w:t>
      </w:r>
    </w:p>
    <w:p w:rsidR="001E198F" w:rsidRPr="003E0A33" w:rsidRDefault="001E198F" w:rsidP="003E0A33">
      <w:pPr>
        <w:tabs>
          <w:tab w:val="left" w:pos="142"/>
          <w:tab w:val="left" w:pos="2814"/>
        </w:tabs>
        <w:spacing w:after="100" w:afterAutospacing="1" w:line="360" w:lineRule="auto"/>
        <w:ind w:right="-1" w:firstLine="709"/>
        <w:contextualSpacing/>
        <w:jc w:val="both"/>
        <w:rPr>
          <w:rFonts w:ascii="Times New Roman" w:hAnsi="Times New Roman"/>
          <w:sz w:val="28"/>
          <w:szCs w:val="28"/>
          <w:lang w:val="kk-KZ"/>
        </w:rPr>
      </w:pPr>
      <w:r w:rsidRPr="003E0A33">
        <w:rPr>
          <w:rFonts w:ascii="Times New Roman" w:hAnsi="Times New Roman"/>
          <w:sz w:val="28"/>
          <w:szCs w:val="28"/>
          <w:lang w:val="kk-KZ"/>
        </w:rPr>
        <w:t>Бұл жұмыс әлеуметтік желілердегі жазбаларды талдаудың жеке түрі. Бұл талдаудың негізінде интернеттегі жазбаларға позитивті немесе негативті баға беріліп, оның кілттік сөздерге сәйкес рұқ</w:t>
      </w:r>
      <w:r>
        <w:rPr>
          <w:rFonts w:ascii="Times New Roman" w:hAnsi="Times New Roman"/>
          <w:sz w:val="28"/>
          <w:szCs w:val="28"/>
          <w:lang w:val="kk-KZ"/>
        </w:rPr>
        <w:t>сат етілген етілмегені анықтайтын боламыз</w:t>
      </w:r>
      <w:r w:rsidRPr="003E0A33">
        <w:rPr>
          <w:rFonts w:ascii="Times New Roman" w:hAnsi="Times New Roman"/>
          <w:sz w:val="28"/>
          <w:szCs w:val="28"/>
          <w:lang w:val="kk-KZ"/>
        </w:rPr>
        <w:t xml:space="preserve">. Осылайша сентимент-анализдің көмегімен интернеттегі контенттің </w:t>
      </w:r>
      <w:r>
        <w:rPr>
          <w:rFonts w:ascii="Times New Roman" w:hAnsi="Times New Roman"/>
          <w:sz w:val="28"/>
          <w:szCs w:val="28"/>
          <w:lang w:val="kk-KZ"/>
        </w:rPr>
        <w:t>ақпараттық қауіпсіздігін бағалаймыз</w:t>
      </w:r>
    </w:p>
    <w:p w:rsidR="001E198F" w:rsidRPr="00971947" w:rsidRDefault="001E198F" w:rsidP="005B624F">
      <w:pPr>
        <w:rPr>
          <w:rFonts w:ascii="Times New Roman" w:hAnsi="Times New Roman"/>
          <w:sz w:val="28"/>
          <w:szCs w:val="28"/>
          <w:lang w:val="kk-KZ"/>
        </w:rPr>
      </w:pPr>
    </w:p>
    <w:p w:rsidR="001E198F" w:rsidRDefault="001E198F" w:rsidP="003E0A33">
      <w:pPr>
        <w:rPr>
          <w:rFonts w:ascii="Times New Roman" w:hAnsi="Times New Roman"/>
          <w:b/>
          <w:sz w:val="28"/>
          <w:szCs w:val="28"/>
          <w:lang w:val="kk-KZ"/>
        </w:rPr>
      </w:pPr>
      <w:r w:rsidRPr="00FA0F5C">
        <w:rPr>
          <w:rFonts w:ascii="Times New Roman" w:hAnsi="Times New Roman"/>
          <w:b/>
          <w:sz w:val="28"/>
          <w:szCs w:val="28"/>
          <w:lang w:val="kk-KZ"/>
        </w:rPr>
        <w:t xml:space="preserve">Пайдаланылған әдебиеттер тізімі: </w:t>
      </w:r>
    </w:p>
    <w:p w:rsidR="001E198F" w:rsidRPr="00FA0F5C" w:rsidRDefault="001E198F" w:rsidP="00755EA4">
      <w:pPr>
        <w:spacing w:after="0" w:line="360" w:lineRule="auto"/>
        <w:ind w:firstLine="709"/>
        <w:jc w:val="both"/>
        <w:rPr>
          <w:rFonts w:ascii="Times New Roman" w:hAnsi="Times New Roman"/>
          <w:b/>
          <w:sz w:val="28"/>
          <w:szCs w:val="28"/>
          <w:lang w:val="kk-KZ"/>
        </w:rPr>
      </w:pPr>
    </w:p>
    <w:p w:rsidR="001E198F" w:rsidRPr="009C365A" w:rsidRDefault="001E198F" w:rsidP="00755EA4">
      <w:pPr>
        <w:pStyle w:val="ListParagraph"/>
        <w:numPr>
          <w:ilvl w:val="0"/>
          <w:numId w:val="5"/>
        </w:numPr>
        <w:tabs>
          <w:tab w:val="left" w:pos="142"/>
        </w:tabs>
        <w:spacing w:after="100" w:afterAutospacing="1" w:line="360" w:lineRule="auto"/>
        <w:ind w:right="-1"/>
        <w:jc w:val="both"/>
        <w:rPr>
          <w:szCs w:val="28"/>
          <w:lang w:val="kk-KZ"/>
        </w:rPr>
      </w:pPr>
      <w:hyperlink r:id="rId5" w:history="1">
        <w:r w:rsidRPr="009C365A">
          <w:rPr>
            <w:rStyle w:val="Hyperlink"/>
            <w:szCs w:val="28"/>
            <w:lang w:val="kk-KZ"/>
          </w:rPr>
          <w:t>http://www.un.org/ru/documents/decl_conv/declarations/declhr.shtml</w:t>
        </w:r>
      </w:hyperlink>
    </w:p>
    <w:p w:rsidR="001E198F" w:rsidRPr="009C365A" w:rsidRDefault="001E198F" w:rsidP="00755EA4">
      <w:pPr>
        <w:pStyle w:val="ListParagraph"/>
        <w:numPr>
          <w:ilvl w:val="0"/>
          <w:numId w:val="5"/>
        </w:numPr>
        <w:tabs>
          <w:tab w:val="left" w:pos="142"/>
        </w:tabs>
        <w:spacing w:after="100" w:afterAutospacing="1" w:line="360" w:lineRule="auto"/>
        <w:ind w:right="-1"/>
        <w:jc w:val="both"/>
        <w:rPr>
          <w:szCs w:val="28"/>
          <w:lang w:val="kk-KZ"/>
        </w:rPr>
      </w:pPr>
      <w:hyperlink r:id="rId6" w:history="1">
        <w:r w:rsidRPr="009C365A">
          <w:rPr>
            <w:rStyle w:val="Hyperlink"/>
            <w:szCs w:val="28"/>
            <w:lang w:val="kk-KZ"/>
          </w:rPr>
          <w:t>http://www.un.org/ru/documents/decl_conv/conventions/pactpol.shtml</w:t>
        </w:r>
      </w:hyperlink>
    </w:p>
    <w:p w:rsidR="001E198F" w:rsidRPr="009C365A" w:rsidRDefault="001E198F" w:rsidP="00755EA4">
      <w:pPr>
        <w:pStyle w:val="ListParagraph"/>
        <w:numPr>
          <w:ilvl w:val="0"/>
          <w:numId w:val="5"/>
        </w:numPr>
        <w:tabs>
          <w:tab w:val="left" w:pos="142"/>
        </w:tabs>
        <w:spacing w:after="100" w:afterAutospacing="1" w:line="360" w:lineRule="auto"/>
        <w:ind w:right="-1"/>
        <w:jc w:val="both"/>
        <w:rPr>
          <w:szCs w:val="28"/>
          <w:lang w:val="kk-KZ"/>
        </w:rPr>
      </w:pPr>
      <w:hyperlink r:id="rId7" w:history="1">
        <w:r w:rsidRPr="009C365A">
          <w:rPr>
            <w:rStyle w:val="Hyperlink"/>
            <w:spacing w:val="2"/>
            <w:szCs w:val="28"/>
            <w:shd w:val="clear" w:color="auto" w:fill="FFFFFF"/>
            <w:lang w:val="kk-KZ"/>
          </w:rPr>
          <w:t>http://adilet.zan.kz/kaz/docs/O4800000001</w:t>
        </w:r>
      </w:hyperlink>
    </w:p>
    <w:p w:rsidR="001E198F" w:rsidRPr="009C365A" w:rsidRDefault="001E198F" w:rsidP="00755EA4">
      <w:pPr>
        <w:pStyle w:val="ListParagraph"/>
        <w:numPr>
          <w:ilvl w:val="0"/>
          <w:numId w:val="5"/>
        </w:numPr>
        <w:tabs>
          <w:tab w:val="left" w:pos="142"/>
        </w:tabs>
        <w:spacing w:after="100" w:afterAutospacing="1" w:line="360" w:lineRule="auto"/>
        <w:ind w:right="-1"/>
        <w:jc w:val="both"/>
        <w:rPr>
          <w:szCs w:val="28"/>
          <w:lang w:val="kk-KZ"/>
        </w:rPr>
      </w:pPr>
      <w:hyperlink r:id="rId8" w:history="1">
        <w:r w:rsidRPr="009C365A">
          <w:rPr>
            <w:rStyle w:val="Hyperlink"/>
            <w:szCs w:val="28"/>
            <w:lang w:val="kk-KZ"/>
          </w:rPr>
          <w:t>http://www.parliament.am/law_docs5/06122015.pdf</w:t>
        </w:r>
      </w:hyperlink>
    </w:p>
    <w:p w:rsidR="001E198F" w:rsidRPr="009C365A" w:rsidRDefault="001E198F" w:rsidP="00755EA4">
      <w:pPr>
        <w:pStyle w:val="ListParagraph"/>
        <w:numPr>
          <w:ilvl w:val="0"/>
          <w:numId w:val="5"/>
        </w:numPr>
        <w:tabs>
          <w:tab w:val="left" w:pos="142"/>
        </w:tabs>
        <w:spacing w:after="100" w:afterAutospacing="1" w:line="360" w:lineRule="auto"/>
        <w:ind w:right="-1"/>
        <w:jc w:val="both"/>
        <w:rPr>
          <w:szCs w:val="28"/>
          <w:lang w:val="kk-KZ"/>
        </w:rPr>
      </w:pPr>
      <w:r w:rsidRPr="009C365A">
        <w:rPr>
          <w:szCs w:val="28"/>
          <w:lang w:val="en-US"/>
        </w:rPr>
        <w:t xml:space="preserve">Guarino N. Understanding, Building, and Using Ontologies // URL: </w:t>
      </w:r>
      <w:hyperlink r:id="rId9" w:history="1">
        <w:r w:rsidRPr="009C365A">
          <w:rPr>
            <w:rStyle w:val="Hyperlink"/>
            <w:szCs w:val="28"/>
            <w:lang w:val="en-US"/>
          </w:rPr>
          <w:t>http://ksi.cpsc.ucalgary.ca/KAW/KAW96/guarino/guarino.html</w:t>
        </w:r>
      </w:hyperlink>
    </w:p>
    <w:p w:rsidR="001E198F" w:rsidRDefault="001E198F" w:rsidP="00755EA4">
      <w:pPr>
        <w:pStyle w:val="ListParagraph"/>
        <w:numPr>
          <w:ilvl w:val="0"/>
          <w:numId w:val="5"/>
        </w:numPr>
        <w:tabs>
          <w:tab w:val="left" w:pos="142"/>
        </w:tabs>
        <w:spacing w:after="100" w:afterAutospacing="1" w:line="360" w:lineRule="auto"/>
        <w:ind w:right="-1"/>
        <w:jc w:val="both"/>
        <w:rPr>
          <w:szCs w:val="28"/>
          <w:lang w:val="kk-KZ"/>
        </w:rPr>
      </w:pPr>
      <w:r w:rsidRPr="009C365A">
        <w:rPr>
          <w:szCs w:val="28"/>
          <w:lang w:val="en-US"/>
        </w:rPr>
        <w:t xml:space="preserve">Hovy E. </w:t>
      </w:r>
      <w:r w:rsidRPr="009C365A">
        <w:rPr>
          <w:szCs w:val="28"/>
        </w:rPr>
        <w:t>Презентации</w:t>
      </w:r>
      <w:r w:rsidRPr="009C365A">
        <w:rPr>
          <w:szCs w:val="28"/>
          <w:lang w:val="en-US"/>
        </w:rPr>
        <w:t xml:space="preserve"> Ontologies: lecture 1 , lecture 2 Issues of Content, lecture 3 Methods for Automated Ontology Building. Information Sciences Institute University of Southern California., </w:t>
      </w:r>
      <w:r w:rsidRPr="009C365A">
        <w:rPr>
          <w:szCs w:val="28"/>
        </w:rPr>
        <w:t>с</w:t>
      </w:r>
      <w:r w:rsidRPr="009C365A">
        <w:rPr>
          <w:szCs w:val="28"/>
          <w:lang w:val="en-US"/>
        </w:rPr>
        <w:t xml:space="preserve"> XX </w:t>
      </w:r>
      <w:r w:rsidRPr="009C365A">
        <w:rPr>
          <w:szCs w:val="28"/>
        </w:rPr>
        <w:t>летней</w:t>
      </w:r>
      <w:r w:rsidRPr="009C365A">
        <w:rPr>
          <w:szCs w:val="28"/>
          <w:lang w:val="en-US"/>
        </w:rPr>
        <w:t xml:space="preserve"> </w:t>
      </w:r>
      <w:r w:rsidRPr="009C365A">
        <w:rPr>
          <w:szCs w:val="28"/>
        </w:rPr>
        <w:t>школы</w:t>
      </w:r>
      <w:r w:rsidRPr="009C365A">
        <w:rPr>
          <w:szCs w:val="28"/>
          <w:lang w:val="en-US"/>
        </w:rPr>
        <w:t xml:space="preserve"> </w:t>
      </w:r>
      <w:r w:rsidRPr="009C365A">
        <w:rPr>
          <w:szCs w:val="28"/>
        </w:rPr>
        <w:t>им</w:t>
      </w:r>
      <w:r w:rsidRPr="009C365A">
        <w:rPr>
          <w:szCs w:val="28"/>
          <w:lang w:val="en-US"/>
        </w:rPr>
        <w:t xml:space="preserve">. </w:t>
      </w:r>
      <w:r w:rsidRPr="009C365A">
        <w:rPr>
          <w:szCs w:val="28"/>
        </w:rPr>
        <w:t>В.Матезиуса по лингвистике и семиотике (7-12 марта 2005 г., Карлов университет).</w:t>
      </w:r>
    </w:p>
    <w:p w:rsidR="001E198F" w:rsidRPr="00F23D80" w:rsidRDefault="001E198F" w:rsidP="00F23D80">
      <w:pPr>
        <w:tabs>
          <w:tab w:val="left" w:pos="142"/>
        </w:tabs>
        <w:spacing w:after="100" w:afterAutospacing="1" w:line="360" w:lineRule="auto"/>
        <w:ind w:right="-1"/>
        <w:jc w:val="both"/>
        <w:rPr>
          <w:szCs w:val="28"/>
          <w:lang w:val="kk-KZ"/>
        </w:rPr>
      </w:pPr>
    </w:p>
    <w:p w:rsidR="001E198F" w:rsidRPr="00B84FFB" w:rsidRDefault="001E198F" w:rsidP="00205099">
      <w:pPr>
        <w:pStyle w:val="ListParagraph"/>
        <w:spacing w:after="0" w:line="360" w:lineRule="auto"/>
        <w:jc w:val="right"/>
        <w:rPr>
          <w:b/>
          <w:szCs w:val="28"/>
          <w:lang w:val="kk-KZ"/>
        </w:rPr>
      </w:pPr>
      <w:r w:rsidRPr="00B84FFB">
        <w:rPr>
          <w:b/>
          <w:szCs w:val="28"/>
          <w:lang w:val="kk-KZ"/>
        </w:rPr>
        <w:t>Ғылыми жетекшісі:</w:t>
      </w:r>
    </w:p>
    <w:p w:rsidR="001E198F" w:rsidRPr="00B84FFB" w:rsidRDefault="001E198F" w:rsidP="00205099">
      <w:pPr>
        <w:pStyle w:val="ListParagraph"/>
        <w:spacing w:after="0" w:line="360" w:lineRule="auto"/>
        <w:jc w:val="right"/>
        <w:rPr>
          <w:szCs w:val="28"/>
          <w:lang w:val="kk-KZ"/>
        </w:rPr>
      </w:pPr>
      <w:r w:rsidRPr="00B84FFB">
        <w:rPr>
          <w:szCs w:val="28"/>
          <w:lang w:val="kk-KZ"/>
        </w:rPr>
        <w:t>Муканова Асель Сериковна</w:t>
      </w:r>
    </w:p>
    <w:p w:rsidR="001E198F" w:rsidRPr="003D42DC" w:rsidRDefault="001E198F" w:rsidP="00971947">
      <w:pPr>
        <w:pStyle w:val="ListParagraph"/>
        <w:spacing w:after="0" w:line="360" w:lineRule="auto"/>
        <w:jc w:val="right"/>
        <w:rPr>
          <w:szCs w:val="28"/>
          <w:lang w:val="kk-KZ"/>
        </w:rPr>
      </w:pPr>
      <w:r w:rsidRPr="000C3D63">
        <w:rPr>
          <w:szCs w:val="28"/>
          <w:lang w:val="kk-KZ"/>
        </w:rPr>
        <w:t xml:space="preserve">PhD </w:t>
      </w:r>
      <w:r>
        <w:rPr>
          <w:szCs w:val="28"/>
          <w:lang w:val="kk-KZ"/>
        </w:rPr>
        <w:t xml:space="preserve">доктор, </w:t>
      </w:r>
      <w:r w:rsidRPr="00751F82">
        <w:rPr>
          <w:szCs w:val="28"/>
          <w:lang w:val="kk-KZ"/>
        </w:rPr>
        <w:t>Л.Н.Гумилев атындағы Еуразия Ұлттық Университеті</w:t>
      </w:r>
      <w:r>
        <w:rPr>
          <w:szCs w:val="28"/>
          <w:lang w:val="kk-KZ"/>
        </w:rPr>
        <w:t>нің аға оқытушысы.</w:t>
      </w:r>
    </w:p>
    <w:p w:rsidR="001E198F" w:rsidRDefault="001E198F" w:rsidP="00205099">
      <w:pPr>
        <w:spacing w:after="0" w:line="360" w:lineRule="auto"/>
        <w:jc w:val="right"/>
        <w:rPr>
          <w:szCs w:val="28"/>
          <w:lang w:val="kk-KZ"/>
        </w:rPr>
      </w:pPr>
    </w:p>
    <w:sectPr w:rsidR="001E198F" w:rsidSect="003E0A3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1102"/>
    <w:multiLevelType w:val="hybridMultilevel"/>
    <w:tmpl w:val="C69CEA0E"/>
    <w:lvl w:ilvl="0" w:tplc="D976362C">
      <w:start w:val="1"/>
      <w:numFmt w:val="decimal"/>
      <w:lvlText w:val="%1."/>
      <w:lvlJc w:val="left"/>
      <w:pPr>
        <w:ind w:left="720" w:hanging="360"/>
      </w:pPr>
      <w:rPr>
        <w:rFonts w:cs="Times New Roman"/>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2177DD7"/>
    <w:multiLevelType w:val="hybridMultilevel"/>
    <w:tmpl w:val="ADF2A00E"/>
    <w:lvl w:ilvl="0" w:tplc="9016455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576336DD"/>
    <w:multiLevelType w:val="hybridMultilevel"/>
    <w:tmpl w:val="89A87BF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2C54A87"/>
    <w:multiLevelType w:val="hybridMultilevel"/>
    <w:tmpl w:val="D286092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7EFB45FC"/>
    <w:multiLevelType w:val="hybridMultilevel"/>
    <w:tmpl w:val="42C045C2"/>
    <w:lvl w:ilvl="0" w:tplc="0F84C24C">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14C3"/>
    <w:rsid w:val="000C3D63"/>
    <w:rsid w:val="001A1206"/>
    <w:rsid w:val="001B574E"/>
    <w:rsid w:val="001E1612"/>
    <w:rsid w:val="001E198F"/>
    <w:rsid w:val="00205099"/>
    <w:rsid w:val="00232F51"/>
    <w:rsid w:val="00363D96"/>
    <w:rsid w:val="003D42DC"/>
    <w:rsid w:val="003E0A33"/>
    <w:rsid w:val="00580D2C"/>
    <w:rsid w:val="005B624F"/>
    <w:rsid w:val="006D25FC"/>
    <w:rsid w:val="00700257"/>
    <w:rsid w:val="00751F82"/>
    <w:rsid w:val="00755EA4"/>
    <w:rsid w:val="007E16D3"/>
    <w:rsid w:val="00803AAE"/>
    <w:rsid w:val="009215A8"/>
    <w:rsid w:val="00971947"/>
    <w:rsid w:val="009C365A"/>
    <w:rsid w:val="00A93278"/>
    <w:rsid w:val="00AB0C17"/>
    <w:rsid w:val="00AE2227"/>
    <w:rsid w:val="00B84FFB"/>
    <w:rsid w:val="00BB7758"/>
    <w:rsid w:val="00C22ADC"/>
    <w:rsid w:val="00CF5E50"/>
    <w:rsid w:val="00D914C3"/>
    <w:rsid w:val="00DE78E2"/>
    <w:rsid w:val="00EC0090"/>
    <w:rsid w:val="00F23D80"/>
    <w:rsid w:val="00F72697"/>
    <w:rsid w:val="00FA0F5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4C3"/>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93278"/>
    <w:rPr>
      <w:rFonts w:cs="Times New Roman"/>
      <w:color w:val="0000FF"/>
      <w:u w:val="single"/>
    </w:rPr>
  </w:style>
  <w:style w:type="paragraph" w:styleId="ListParagraph">
    <w:name w:val="List Paragraph"/>
    <w:basedOn w:val="Normal"/>
    <w:uiPriority w:val="99"/>
    <w:qFormat/>
    <w:rsid w:val="00A93278"/>
    <w:pPr>
      <w:ind w:left="720"/>
      <w:contextualSpacing/>
    </w:pPr>
    <w:rPr>
      <w:rFonts w:ascii="Times New Roman" w:eastAsia="Calibri" w:hAnsi="Times New Roman"/>
      <w:sz w:val="28"/>
      <w:szCs w:val="20"/>
      <w:lang w:eastAsia="en-US"/>
    </w:rPr>
  </w:style>
  <w:style w:type="character" w:customStyle="1" w:styleId="apple-converted-space">
    <w:name w:val="apple-converted-space"/>
    <w:basedOn w:val="DefaultParagraphFont"/>
    <w:uiPriority w:val="99"/>
    <w:rsid w:val="00A9327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liament.am/law_docs5/06122015.pdf" TargetMode="External"/><Relationship Id="rId3" Type="http://schemas.openxmlformats.org/officeDocument/2006/relationships/settings" Target="settings.xml"/><Relationship Id="rId7" Type="http://schemas.openxmlformats.org/officeDocument/2006/relationships/hyperlink" Target="http://adilet.zan.kz/kaz/docs/O48000000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n.org/ru/documents/decl_conv/conventions/pactpol.shtml" TargetMode="External"/><Relationship Id="rId11" Type="http://schemas.openxmlformats.org/officeDocument/2006/relationships/theme" Target="theme/theme1.xml"/><Relationship Id="rId5" Type="http://schemas.openxmlformats.org/officeDocument/2006/relationships/hyperlink" Target="http://www.un.org/ru/documents/decl_conv/declarations/declhr.s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ksi.cpsc.ucalgary.ca/KAW/KAW96/guarino/guarin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136</TotalTime>
  <Pages>7</Pages>
  <Words>7516</Words>
  <Characters>4285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esvankulova</dc:creator>
  <cp:keywords/>
  <dc:description/>
  <cp:lastModifiedBy>Admin</cp:lastModifiedBy>
  <cp:revision>6</cp:revision>
  <dcterms:created xsi:type="dcterms:W3CDTF">2019-02-06T09:56:00Z</dcterms:created>
  <dcterms:modified xsi:type="dcterms:W3CDTF">2019-02-27T15:31:00Z</dcterms:modified>
</cp:coreProperties>
</file>