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572" w:rsidRPr="004A7564" w:rsidRDefault="00CF3572" w:rsidP="00BD32F5">
      <w:pPr>
        <w:spacing w:after="0" w:line="360" w:lineRule="auto"/>
        <w:ind w:firstLine="567"/>
        <w:jc w:val="right"/>
        <w:rPr>
          <w:rFonts w:ascii="Times New Roman" w:hAnsi="Times New Roman"/>
          <w:b/>
          <w:sz w:val="28"/>
          <w:szCs w:val="28"/>
          <w:lang w:val="uk-UA"/>
        </w:rPr>
      </w:pPr>
      <w:r w:rsidRPr="004A7564">
        <w:rPr>
          <w:rFonts w:ascii="Times New Roman" w:hAnsi="Times New Roman"/>
          <w:b/>
          <w:sz w:val="28"/>
          <w:szCs w:val="28"/>
          <w:lang w:val="uk-UA"/>
        </w:rPr>
        <w:t>Таісія Маркович</w:t>
      </w:r>
    </w:p>
    <w:p w:rsidR="00CF3572" w:rsidRPr="004A7564" w:rsidRDefault="00CF3572" w:rsidP="00BD32F5">
      <w:pPr>
        <w:spacing w:after="0" w:line="360" w:lineRule="auto"/>
        <w:ind w:firstLine="567"/>
        <w:jc w:val="right"/>
        <w:rPr>
          <w:rFonts w:ascii="Times New Roman" w:hAnsi="Times New Roman"/>
          <w:b/>
          <w:sz w:val="28"/>
          <w:szCs w:val="28"/>
          <w:lang w:val="uk-UA"/>
        </w:rPr>
      </w:pPr>
      <w:r w:rsidRPr="004A7564">
        <w:rPr>
          <w:rFonts w:ascii="Times New Roman" w:hAnsi="Times New Roman"/>
          <w:b/>
          <w:sz w:val="28"/>
          <w:szCs w:val="28"/>
          <w:lang w:val="uk-UA"/>
        </w:rPr>
        <w:t>(Житомир, Україна)</w:t>
      </w:r>
    </w:p>
    <w:p w:rsidR="00CF3572" w:rsidRDefault="00CF3572" w:rsidP="004A7564">
      <w:pPr>
        <w:spacing w:after="0" w:line="360" w:lineRule="auto"/>
        <w:rPr>
          <w:rFonts w:ascii="Times New Roman" w:hAnsi="Times New Roman"/>
          <w:b/>
          <w:sz w:val="28"/>
          <w:szCs w:val="28"/>
        </w:rPr>
      </w:pPr>
    </w:p>
    <w:p w:rsidR="00CF3572" w:rsidRDefault="00CF3572" w:rsidP="00BD32F5">
      <w:pPr>
        <w:spacing w:after="0" w:line="360" w:lineRule="auto"/>
        <w:jc w:val="center"/>
        <w:rPr>
          <w:rFonts w:ascii="Times New Roman" w:hAnsi="Times New Roman"/>
          <w:b/>
          <w:sz w:val="28"/>
          <w:szCs w:val="28"/>
        </w:rPr>
      </w:pPr>
      <w:r w:rsidRPr="006559A7">
        <w:rPr>
          <w:rFonts w:ascii="Times New Roman" w:hAnsi="Times New Roman"/>
          <w:b/>
          <w:sz w:val="28"/>
          <w:szCs w:val="28"/>
        </w:rPr>
        <w:t>АНАЛІЗ СТАН</w:t>
      </w:r>
      <w:r w:rsidRPr="006559A7">
        <w:rPr>
          <w:rFonts w:ascii="Times New Roman" w:hAnsi="Times New Roman"/>
          <w:b/>
          <w:sz w:val="28"/>
          <w:szCs w:val="28"/>
          <w:lang w:val="uk-UA"/>
        </w:rPr>
        <w:t>У</w:t>
      </w:r>
      <w:r w:rsidRPr="006559A7">
        <w:rPr>
          <w:rFonts w:ascii="Times New Roman" w:hAnsi="Times New Roman"/>
          <w:b/>
          <w:sz w:val="28"/>
          <w:szCs w:val="28"/>
        </w:rPr>
        <w:t xml:space="preserve"> КРЕДИТНОГО ПОРТФЕЛЮ ВІТЧИЗНЯНИХ БАНКІВ </w:t>
      </w:r>
      <w:r w:rsidRPr="006559A7">
        <w:rPr>
          <w:rFonts w:ascii="Times New Roman" w:hAnsi="Times New Roman"/>
          <w:b/>
          <w:sz w:val="28"/>
          <w:szCs w:val="28"/>
          <w:lang w:val="uk-UA"/>
        </w:rPr>
        <w:t xml:space="preserve">В КОНТЕКСТІ </w:t>
      </w:r>
      <w:r w:rsidRPr="006559A7">
        <w:rPr>
          <w:rFonts w:ascii="Times New Roman" w:hAnsi="Times New Roman"/>
          <w:b/>
          <w:sz w:val="28"/>
          <w:szCs w:val="28"/>
        </w:rPr>
        <w:t xml:space="preserve">ВПРОВАДЖЕННЯ </w:t>
      </w:r>
      <w:r w:rsidRPr="006559A7">
        <w:rPr>
          <w:rFonts w:ascii="Times New Roman" w:hAnsi="Times New Roman"/>
          <w:b/>
          <w:sz w:val="28"/>
          <w:szCs w:val="28"/>
          <w:lang w:val="uk-UA"/>
        </w:rPr>
        <w:t xml:space="preserve">НОВИХ </w:t>
      </w:r>
      <w:r w:rsidRPr="006559A7">
        <w:rPr>
          <w:rFonts w:ascii="Times New Roman" w:hAnsi="Times New Roman"/>
          <w:b/>
          <w:sz w:val="28"/>
          <w:szCs w:val="28"/>
        </w:rPr>
        <w:t xml:space="preserve">ПІДХОДІВ НАЦІОНАЛЬНОГО БАНКУ ДО ОЦІНКИ ФІНАНСОВОГО СТАНУ БОРЖНИКА – ЮРИДИЧНОЇ ОСОБИ </w:t>
      </w:r>
    </w:p>
    <w:p w:rsidR="00CF3572" w:rsidRDefault="00CF3572" w:rsidP="00BD32F5">
      <w:pPr>
        <w:spacing w:after="0" w:line="360" w:lineRule="auto"/>
        <w:jc w:val="center"/>
        <w:rPr>
          <w:rFonts w:ascii="Times New Roman" w:hAnsi="Times New Roman"/>
          <w:b/>
          <w:sz w:val="28"/>
          <w:szCs w:val="28"/>
        </w:rPr>
      </w:pPr>
    </w:p>
    <w:p w:rsidR="00CF3572" w:rsidRDefault="00CF3572" w:rsidP="00E167A6">
      <w:pPr>
        <w:spacing w:after="0" w:line="360" w:lineRule="auto"/>
        <w:ind w:firstLine="567"/>
        <w:jc w:val="both"/>
        <w:rPr>
          <w:rFonts w:ascii="Times New Roman" w:hAnsi="Times New Roman"/>
          <w:sz w:val="28"/>
          <w:szCs w:val="28"/>
          <w:lang w:val="uk-UA"/>
        </w:rPr>
      </w:pPr>
      <w:r w:rsidRPr="006559A7">
        <w:rPr>
          <w:rFonts w:ascii="Times New Roman" w:hAnsi="Times New Roman"/>
          <w:sz w:val="28"/>
          <w:szCs w:val="28"/>
          <w:lang w:val="uk-UA"/>
        </w:rPr>
        <w:t xml:space="preserve">Останні п’ять років банківська система України розвивається в умовах військового конфлікту та перманентної політичної та економічної кризи. Після окупації АР Крим та частин Донецької та Луганської областей вітчизняні комерційні банки втратили частину своїх активів, що залишились на окупованих територіях. Зазначені події змусили Нацбанк до заходів щодо стабілізації фінансової системи, які призвели до виведення великої кількості неплатоспроможних банків з ринку. Зокрема, за даними НБУ кількість банків в Україні протягом 2014-2019 р. скоротилася із 180 до 77. </w:t>
      </w:r>
      <w:r w:rsidRPr="00E167A6">
        <w:rPr>
          <w:rFonts w:ascii="Times New Roman" w:hAnsi="Times New Roman"/>
          <w:sz w:val="28"/>
          <w:szCs w:val="28"/>
          <w:lang w:val="uk-UA"/>
        </w:rPr>
        <w:t>Якщо ж проаналізувати активи вітчизняних банків у 2012-2019 р.р., то варто відмітити, що, не зважаючи на загальну тенденцію скорочення кількості банків, обсяг їх активів продовжував зростати протягом усього аналізованого періоду та у 2019 р. склав 1911093 млн. грн., що на 58 % більше у</w:t>
      </w:r>
      <w:r>
        <w:rPr>
          <w:rFonts w:ascii="Times New Roman" w:hAnsi="Times New Roman"/>
          <w:sz w:val="28"/>
          <w:szCs w:val="28"/>
          <w:lang w:val="uk-UA"/>
        </w:rPr>
        <w:t xml:space="preserve"> порівнянні з 2012 роком (рис. 1</w:t>
      </w:r>
      <w:r w:rsidRPr="00E167A6">
        <w:rPr>
          <w:rFonts w:ascii="Times New Roman" w:hAnsi="Times New Roman"/>
          <w:sz w:val="28"/>
          <w:szCs w:val="28"/>
          <w:lang w:val="uk-UA"/>
        </w:rPr>
        <w:t xml:space="preserve">). Загальні обсяги кредитування протягом всього аналізованого періоду теж демонструють позитивну динаміку до зростання, однак їх темп зростання у 2019 р. у порівнянні з 2012 р. значно менший і складає 36 %. </w:t>
      </w:r>
    </w:p>
    <w:p w:rsidR="00CF3572" w:rsidRDefault="00CF3572" w:rsidP="00E167A6">
      <w:pPr>
        <w:spacing w:after="0" w:line="360" w:lineRule="auto"/>
        <w:ind w:firstLine="567"/>
        <w:jc w:val="both"/>
        <w:rPr>
          <w:rFonts w:ascii="Times New Roman" w:hAnsi="Times New Roman"/>
          <w:sz w:val="28"/>
          <w:szCs w:val="28"/>
          <w:lang w:val="uk-UA"/>
        </w:rPr>
      </w:pPr>
      <w:r w:rsidRPr="00E167A6">
        <w:rPr>
          <w:rFonts w:ascii="Times New Roman" w:hAnsi="Times New Roman"/>
          <w:sz w:val="28"/>
          <w:szCs w:val="28"/>
          <w:lang w:val="uk-UA"/>
        </w:rPr>
        <w:t>Якщо ж розглянути обсяги кредитування у розрізі позичальників, то в структурі наданих кредитів протягом усього аналізованого періоду переважали кредити суб’єктам господарювання: станом на початок періоду їх частка становила 70 % - у 2012 році, а станом на початок 2019 року їх частка в структурі зросла до 82 %. В цілому ж, обсяги кредитування суб’єктів господарювання за період 2012-2019 р.р. зросли на 58 %. У той же час кредити фізичн</w:t>
      </w:r>
      <w:r>
        <w:rPr>
          <w:rFonts w:ascii="Times New Roman" w:hAnsi="Times New Roman"/>
          <w:sz w:val="28"/>
          <w:szCs w:val="28"/>
          <w:lang w:val="uk-UA"/>
        </w:rPr>
        <w:t>им особам зросли тільки на 13 %</w:t>
      </w:r>
      <w:r w:rsidRPr="00E167A6">
        <w:rPr>
          <w:rFonts w:ascii="Times New Roman" w:hAnsi="Times New Roman"/>
          <w:sz w:val="28"/>
          <w:szCs w:val="28"/>
          <w:lang w:val="uk-UA"/>
        </w:rPr>
        <w:t>.</w:t>
      </w:r>
    </w:p>
    <w:p w:rsidR="00CF3572" w:rsidRPr="007E4DE7" w:rsidRDefault="00CF3572" w:rsidP="006559A7">
      <w:pPr>
        <w:spacing w:after="0" w:line="240" w:lineRule="auto"/>
        <w:ind w:firstLine="567"/>
        <w:jc w:val="both"/>
        <w:rPr>
          <w:rFonts w:ascii="Times New Roman" w:hAnsi="Times New Roman"/>
          <w:sz w:val="20"/>
          <w:szCs w:val="20"/>
          <w:lang w:val="uk-UA"/>
        </w:rPr>
      </w:pPr>
      <w:r w:rsidRPr="002B5B5C">
        <w:rPr>
          <w:rFonts w:ascii="Times New Roman" w:hAnsi="Times New Roman"/>
          <w:noProof/>
          <w:sz w:val="20"/>
          <w:szCs w:val="20"/>
          <w:lang w:val="en-US"/>
        </w:rPr>
        <w:object w:dxaOrig="8670" w:dyaOrig="5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433.5pt;height:252.75pt;visibility:visible" o:ole="">
            <v:imagedata r:id="rId4" o:title=""/>
            <o:lock v:ext="edit" aspectratio="f"/>
          </v:shape>
          <o:OLEObject Type="Embed" ProgID="Excel.Chart.8" ShapeID="Диаграмма 2" DrawAspect="Content" ObjectID="_1620733263" r:id="rId5"/>
        </w:object>
      </w:r>
    </w:p>
    <w:p w:rsidR="00CF3572" w:rsidRPr="00E167A6" w:rsidRDefault="00CF3572" w:rsidP="00E167A6">
      <w:pPr>
        <w:spacing w:after="0" w:line="360" w:lineRule="auto"/>
        <w:ind w:firstLine="567"/>
        <w:jc w:val="center"/>
        <w:rPr>
          <w:rFonts w:ascii="Times New Roman" w:hAnsi="Times New Roman"/>
          <w:sz w:val="28"/>
          <w:szCs w:val="28"/>
          <w:lang w:val="uk-UA"/>
        </w:rPr>
      </w:pPr>
      <w:r>
        <w:rPr>
          <w:rFonts w:ascii="Times New Roman" w:hAnsi="Times New Roman"/>
          <w:sz w:val="28"/>
          <w:szCs w:val="28"/>
          <w:lang w:val="uk-UA"/>
        </w:rPr>
        <w:t>Рис. 1</w:t>
      </w:r>
      <w:r w:rsidRPr="00E167A6">
        <w:rPr>
          <w:rFonts w:ascii="Times New Roman" w:hAnsi="Times New Roman"/>
          <w:sz w:val="28"/>
          <w:szCs w:val="28"/>
          <w:lang w:val="uk-UA"/>
        </w:rPr>
        <w:t>. Динаміка окремих активів банків України у 201</w:t>
      </w:r>
      <w:r>
        <w:rPr>
          <w:rFonts w:ascii="Times New Roman" w:hAnsi="Times New Roman"/>
          <w:sz w:val="28"/>
          <w:szCs w:val="28"/>
          <w:lang w:val="uk-UA"/>
        </w:rPr>
        <w:t>2-2019 р.р. (станом на 01.01) [3</w:t>
      </w:r>
      <w:r w:rsidRPr="00E167A6">
        <w:rPr>
          <w:rFonts w:ascii="Times New Roman" w:hAnsi="Times New Roman"/>
          <w:sz w:val="28"/>
          <w:szCs w:val="28"/>
          <w:lang w:val="uk-UA"/>
        </w:rPr>
        <w:t>]</w:t>
      </w:r>
    </w:p>
    <w:p w:rsidR="00CF3572" w:rsidRPr="00E167A6" w:rsidRDefault="00CF3572" w:rsidP="00E167A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 рис. 1</w:t>
      </w:r>
      <w:r w:rsidRPr="00E167A6">
        <w:rPr>
          <w:rFonts w:ascii="Times New Roman" w:hAnsi="Times New Roman"/>
          <w:sz w:val="28"/>
          <w:szCs w:val="28"/>
          <w:lang w:val="uk-UA"/>
        </w:rPr>
        <w:t xml:space="preserve"> також чітко прослідковується тенденція до суттєвого нарощення обсягів резервів за активними операціями банків, що з 2012 р. по 2019 р. зросли на 397964 млн. грн. або на 252 %. </w:t>
      </w:r>
      <w:r>
        <w:rPr>
          <w:rFonts w:ascii="Times New Roman" w:hAnsi="Times New Roman"/>
          <w:sz w:val="28"/>
          <w:szCs w:val="28"/>
          <w:lang w:val="uk-UA"/>
        </w:rPr>
        <w:t>Також</w:t>
      </w:r>
      <w:r w:rsidRPr="00E167A6">
        <w:rPr>
          <w:rFonts w:ascii="Times New Roman" w:hAnsi="Times New Roman"/>
          <w:sz w:val="28"/>
          <w:szCs w:val="28"/>
          <w:lang w:val="uk-UA"/>
        </w:rPr>
        <w:t xml:space="preserve"> варто відмітитисуттєве зростання обсягів резервів за активними операціями</w:t>
      </w:r>
      <w:r>
        <w:rPr>
          <w:rFonts w:ascii="Times New Roman" w:hAnsi="Times New Roman"/>
          <w:sz w:val="28"/>
          <w:szCs w:val="28"/>
          <w:lang w:val="uk-UA"/>
        </w:rPr>
        <w:t>, що</w:t>
      </w:r>
      <w:r w:rsidRPr="00E167A6">
        <w:rPr>
          <w:rFonts w:ascii="Times New Roman" w:hAnsi="Times New Roman"/>
          <w:sz w:val="28"/>
          <w:szCs w:val="28"/>
          <w:lang w:val="uk-UA"/>
        </w:rPr>
        <w:t xml:space="preserve"> сп</w:t>
      </w:r>
      <w:r>
        <w:rPr>
          <w:rFonts w:ascii="Times New Roman" w:hAnsi="Times New Roman"/>
          <w:sz w:val="28"/>
          <w:szCs w:val="28"/>
          <w:lang w:val="uk-UA"/>
        </w:rPr>
        <w:t>остерігалося протягом 2016-2019 </w:t>
      </w:r>
      <w:r w:rsidRPr="00E167A6">
        <w:rPr>
          <w:rFonts w:ascii="Times New Roman" w:hAnsi="Times New Roman"/>
          <w:sz w:val="28"/>
          <w:szCs w:val="28"/>
          <w:lang w:val="uk-UA"/>
        </w:rPr>
        <w:t xml:space="preserve">р.р. </w:t>
      </w:r>
      <w:r>
        <w:rPr>
          <w:rFonts w:ascii="Times New Roman" w:hAnsi="Times New Roman"/>
          <w:sz w:val="28"/>
          <w:szCs w:val="28"/>
          <w:lang w:val="uk-UA"/>
        </w:rPr>
        <w:t>У цей</w:t>
      </w:r>
      <w:r w:rsidRPr="00E167A6">
        <w:rPr>
          <w:rFonts w:ascii="Times New Roman" w:hAnsi="Times New Roman"/>
          <w:sz w:val="28"/>
          <w:szCs w:val="28"/>
          <w:lang w:val="uk-UA"/>
        </w:rPr>
        <w:t xml:space="preserve"> ж</w:t>
      </w:r>
      <w:r>
        <w:rPr>
          <w:rFonts w:ascii="Times New Roman" w:hAnsi="Times New Roman"/>
          <w:sz w:val="28"/>
          <w:szCs w:val="28"/>
          <w:lang w:val="uk-UA"/>
        </w:rPr>
        <w:t>е період</w:t>
      </w:r>
      <w:r w:rsidRPr="00E167A6">
        <w:rPr>
          <w:rFonts w:ascii="Times New Roman" w:hAnsi="Times New Roman"/>
          <w:sz w:val="28"/>
          <w:szCs w:val="28"/>
          <w:lang w:val="uk-UA"/>
        </w:rPr>
        <w:t xml:space="preserve"> обсяги резервів за активними операціями перевищили обсяги кредитування фізичних осіб, зокрема: у 2016 р. таке перевищення склало 145592 млн. грн., що на 83 % перевищує обсяги виданих кредитів фізичним особам; а у 2019 р. – 359237 млн. грн. (183 %) відповідно. Така тенденція у часі співпадає із процесами масового виведення неплатоспроможних банків з ринку, а також запровадженням нових правил визначення рівня кредитного ризику за кредитами позичальників-юридичних осіб. Оскільки обсяги резервів за активними операціями продовжують стрімке зростання й після стабілізації банківської системи, то це може свідчити або про те, що банки свідомо </w:t>
      </w:r>
      <w:r>
        <w:rPr>
          <w:rFonts w:ascii="Times New Roman" w:hAnsi="Times New Roman"/>
          <w:sz w:val="28"/>
          <w:szCs w:val="28"/>
          <w:lang w:val="uk-UA"/>
        </w:rPr>
        <w:t>кредитують</w:t>
      </w:r>
      <w:r w:rsidRPr="00E167A6">
        <w:rPr>
          <w:rFonts w:ascii="Times New Roman" w:hAnsi="Times New Roman"/>
          <w:sz w:val="28"/>
          <w:szCs w:val="28"/>
          <w:lang w:val="uk-UA"/>
        </w:rPr>
        <w:t xml:space="preserve"> неплатоспроможних юридичних осіб, або ж нововведена методика оцінки рівня кредитного ризику за кредитами позичальників-юридичних осіб дає завищені результати кредитного ризику, що спонукає банки вилучати значну частину ресурсів на формування резервів.</w:t>
      </w:r>
    </w:p>
    <w:p w:rsidR="00CF3572" w:rsidRPr="00E167A6" w:rsidRDefault="00CF3572" w:rsidP="00812592">
      <w:pPr>
        <w:spacing w:after="0" w:line="360" w:lineRule="auto"/>
        <w:ind w:firstLine="567"/>
        <w:jc w:val="both"/>
        <w:rPr>
          <w:rFonts w:ascii="Times New Roman" w:hAnsi="Times New Roman"/>
          <w:sz w:val="28"/>
          <w:szCs w:val="28"/>
          <w:lang w:val="uk-UA"/>
        </w:rPr>
      </w:pPr>
      <w:r w:rsidRPr="00E167A6">
        <w:rPr>
          <w:rFonts w:ascii="Times New Roman" w:hAnsi="Times New Roman"/>
          <w:sz w:val="28"/>
          <w:szCs w:val="28"/>
          <w:lang w:val="uk-UA"/>
        </w:rPr>
        <w:t>Варто відмітити, що порядок визначення рівня кредитного ризику позичальників-юридичних осіб, встановлений Положенням НБУ № 351 у 2017 р. застосовувався у тестовому режимі з початку року не для всі</w:t>
      </w:r>
      <w:r>
        <w:rPr>
          <w:rFonts w:ascii="Times New Roman" w:hAnsi="Times New Roman"/>
          <w:sz w:val="28"/>
          <w:szCs w:val="28"/>
          <w:lang w:val="uk-UA"/>
        </w:rPr>
        <w:t>х</w:t>
      </w:r>
      <w:r w:rsidRPr="00E167A6">
        <w:rPr>
          <w:rFonts w:ascii="Times New Roman" w:hAnsi="Times New Roman"/>
          <w:sz w:val="28"/>
          <w:szCs w:val="28"/>
          <w:lang w:val="uk-UA"/>
        </w:rPr>
        <w:t xml:space="preserve"> банків, однак протягом 2018 р. встановлені ним вимоги мали виконувати всі комерційні банки. Основною метою впровадження Положення НБУ № 351 було зниження рівня кредитного ризику та скорочення частки непрацюючих кредитів.Однак протягом 2018 р. частка непрацюючих кредитів у банківській системі становила понад 50 %, не зважаючи на повноцінне застосування нового Положення НБУ</w:t>
      </w:r>
      <w:r>
        <w:rPr>
          <w:rFonts w:ascii="Times New Roman" w:hAnsi="Times New Roman"/>
          <w:sz w:val="28"/>
          <w:szCs w:val="28"/>
          <w:lang w:val="uk-UA"/>
        </w:rPr>
        <w:t xml:space="preserve"> № </w:t>
      </w:r>
      <w:r w:rsidRPr="00E167A6">
        <w:rPr>
          <w:rFonts w:ascii="Times New Roman" w:hAnsi="Times New Roman"/>
          <w:sz w:val="28"/>
          <w:szCs w:val="28"/>
          <w:lang w:val="uk-UA"/>
        </w:rPr>
        <w:t xml:space="preserve">351 (рис. </w:t>
      </w:r>
      <w:r>
        <w:rPr>
          <w:rFonts w:ascii="Times New Roman" w:hAnsi="Times New Roman"/>
          <w:sz w:val="28"/>
          <w:szCs w:val="28"/>
          <w:lang w:val="uk-UA"/>
        </w:rPr>
        <w:t>2</w:t>
      </w:r>
      <w:r w:rsidRPr="00E167A6">
        <w:rPr>
          <w:rFonts w:ascii="Times New Roman" w:hAnsi="Times New Roman"/>
          <w:sz w:val="28"/>
          <w:szCs w:val="28"/>
          <w:lang w:val="uk-UA"/>
        </w:rPr>
        <w:t>).Особливістю Положення НБУ № 351 у частині визначення рівня кредитного ризику позичальника – юридичної особи є достатньо суворий підхід, що базується на математичній моделі оцінки даних фінансової звітності позичальника та практично обмежує можливо</w:t>
      </w:r>
      <w:r>
        <w:rPr>
          <w:rFonts w:ascii="Times New Roman" w:hAnsi="Times New Roman"/>
          <w:sz w:val="28"/>
          <w:szCs w:val="28"/>
          <w:lang w:val="uk-UA"/>
        </w:rPr>
        <w:t>сті врахування якісних факторів</w:t>
      </w:r>
      <w:r w:rsidRPr="00E167A6">
        <w:rPr>
          <w:rFonts w:ascii="Times New Roman" w:hAnsi="Times New Roman"/>
          <w:sz w:val="28"/>
          <w:szCs w:val="28"/>
          <w:lang w:val="uk-UA"/>
        </w:rPr>
        <w:t xml:space="preserve">. </w:t>
      </w:r>
    </w:p>
    <w:p w:rsidR="00CF3572" w:rsidRPr="007E4DE7" w:rsidRDefault="00CF3572" w:rsidP="00B83790">
      <w:pPr>
        <w:spacing w:after="0" w:line="240" w:lineRule="auto"/>
        <w:jc w:val="center"/>
        <w:rPr>
          <w:rFonts w:ascii="Times New Roman" w:hAnsi="Times New Roman"/>
          <w:sz w:val="20"/>
          <w:szCs w:val="20"/>
          <w:lang w:val="uk-UA"/>
        </w:rPr>
      </w:pPr>
      <w:r w:rsidRPr="002B5B5C">
        <w:rPr>
          <w:rFonts w:ascii="Times New Roman" w:hAnsi="Times New Roman"/>
          <w:noProof/>
          <w:sz w:val="20"/>
          <w:szCs w:val="20"/>
          <w:lang w:val="en-US"/>
        </w:rPr>
        <w:object w:dxaOrig="8670" w:dyaOrig="4896">
          <v:shape id="Диаграмма 6" o:spid="_x0000_i1026" type="#_x0000_t75" style="width:433.5pt;height:245.25pt;visibility:visible" o:ole="">
            <v:imagedata r:id="rId6" o:title="" cropbottom="-54f"/>
            <o:lock v:ext="edit" aspectratio="f"/>
          </v:shape>
          <o:OLEObject Type="Embed" ProgID="Excel.Chart.8" ShapeID="Диаграмма 6" DrawAspect="Content" ObjectID="_1620733264" r:id="rId7"/>
        </w:object>
      </w:r>
    </w:p>
    <w:p w:rsidR="00CF3572" w:rsidRPr="00E167A6" w:rsidRDefault="00CF3572" w:rsidP="00E167A6">
      <w:pPr>
        <w:spacing w:after="0" w:line="360" w:lineRule="auto"/>
        <w:ind w:firstLine="567"/>
        <w:jc w:val="center"/>
        <w:rPr>
          <w:rFonts w:ascii="Times New Roman" w:hAnsi="Times New Roman"/>
          <w:sz w:val="28"/>
          <w:szCs w:val="28"/>
        </w:rPr>
      </w:pPr>
      <w:r>
        <w:rPr>
          <w:rFonts w:ascii="Times New Roman" w:hAnsi="Times New Roman"/>
          <w:sz w:val="28"/>
          <w:szCs w:val="28"/>
          <w:lang w:val="uk-UA"/>
        </w:rPr>
        <w:t>Рис. 2</w:t>
      </w:r>
      <w:r w:rsidRPr="00E167A6">
        <w:rPr>
          <w:rFonts w:ascii="Times New Roman" w:hAnsi="Times New Roman"/>
          <w:sz w:val="28"/>
          <w:szCs w:val="28"/>
          <w:lang w:val="uk-UA"/>
        </w:rPr>
        <w:t>. Частка непрацюючих кредитів у банківській системі України</w:t>
      </w:r>
      <w:r>
        <w:rPr>
          <w:rFonts w:ascii="Times New Roman" w:hAnsi="Times New Roman"/>
          <w:sz w:val="28"/>
          <w:szCs w:val="28"/>
          <w:lang w:eastAsia="ru-RU"/>
        </w:rPr>
        <w:t>[3</w:t>
      </w:r>
      <w:r w:rsidRPr="00E167A6">
        <w:rPr>
          <w:rFonts w:ascii="Times New Roman" w:hAnsi="Times New Roman"/>
          <w:sz w:val="28"/>
          <w:szCs w:val="28"/>
          <w:lang w:eastAsia="ru-RU"/>
        </w:rPr>
        <w:t>]</w:t>
      </w:r>
    </w:p>
    <w:p w:rsidR="00CF3572" w:rsidRPr="00E167A6" w:rsidRDefault="00CF3572" w:rsidP="00812592">
      <w:pPr>
        <w:spacing w:after="0" w:line="360" w:lineRule="auto"/>
        <w:ind w:firstLine="567"/>
        <w:jc w:val="both"/>
        <w:rPr>
          <w:rFonts w:ascii="Times New Roman" w:hAnsi="Times New Roman"/>
          <w:sz w:val="28"/>
          <w:szCs w:val="28"/>
          <w:lang w:val="uk-UA"/>
        </w:rPr>
      </w:pPr>
      <w:r w:rsidRPr="00E167A6">
        <w:rPr>
          <w:rFonts w:ascii="Times New Roman" w:hAnsi="Times New Roman"/>
          <w:sz w:val="28"/>
          <w:szCs w:val="28"/>
          <w:lang w:val="uk-UA"/>
        </w:rPr>
        <w:t>Водночас, як свідчать дані рис. 3 частка непрацюючих кредитів суттєво знизилась саме в частині кредитів фізичним особам, де переважно враховуються якісні фактори. Щодо непрацюючих кредитів юридичним особам, то їх частка станом на кінець року у порівнянні з даними на початок року зросла на 0,26 %, що свідчить поки про низьку ефективність нової методики НБУ щодо визначення рівня кредитного ризику.</w:t>
      </w:r>
    </w:p>
    <w:p w:rsidR="00CF3572" w:rsidRPr="00E167A6" w:rsidRDefault="00CF3572" w:rsidP="004747B0">
      <w:pPr>
        <w:spacing w:after="0" w:line="360" w:lineRule="auto"/>
        <w:ind w:firstLine="567"/>
        <w:jc w:val="both"/>
        <w:rPr>
          <w:rFonts w:ascii="Times New Roman" w:hAnsi="Times New Roman"/>
          <w:sz w:val="28"/>
          <w:szCs w:val="28"/>
          <w:lang w:val="uk-UA"/>
        </w:rPr>
      </w:pPr>
      <w:r w:rsidRPr="00E167A6">
        <w:rPr>
          <w:rFonts w:ascii="Times New Roman" w:hAnsi="Times New Roman"/>
          <w:sz w:val="28"/>
          <w:szCs w:val="28"/>
          <w:lang w:val="uk-UA"/>
        </w:rPr>
        <w:t>Проаналізуємо дані щодо непрацюючих кредитів у розрізі валют. Зокрема, частка непрацюючих кредитів у національній валюті скоротилася на 3,48 % станом на кінець 2018 р. у порівнянні і</w:t>
      </w:r>
      <w:r>
        <w:rPr>
          <w:rFonts w:ascii="Times New Roman" w:hAnsi="Times New Roman"/>
          <w:sz w:val="28"/>
          <w:szCs w:val="28"/>
          <w:lang w:val="uk-UA"/>
        </w:rPr>
        <w:t>з даними на початку року (рис. 3</w:t>
      </w:r>
      <w:r w:rsidRPr="00E167A6">
        <w:rPr>
          <w:rFonts w:ascii="Times New Roman" w:hAnsi="Times New Roman"/>
          <w:sz w:val="28"/>
          <w:szCs w:val="28"/>
          <w:lang w:val="uk-UA"/>
        </w:rPr>
        <w:t>). При цьому</w:t>
      </w:r>
      <w:r>
        <w:rPr>
          <w:rFonts w:ascii="Times New Roman" w:hAnsi="Times New Roman"/>
          <w:sz w:val="28"/>
          <w:szCs w:val="28"/>
          <w:lang w:val="uk-UA"/>
        </w:rPr>
        <w:t>,</w:t>
      </w:r>
      <w:r w:rsidRPr="00E167A6">
        <w:rPr>
          <w:rFonts w:ascii="Times New Roman" w:hAnsi="Times New Roman"/>
          <w:sz w:val="28"/>
          <w:szCs w:val="28"/>
          <w:lang w:val="uk-UA"/>
        </w:rPr>
        <w:t xml:space="preserve"> варто відмітити низьку частку непрацюючих кредитів у національній валюті фізичним особам, значення якої протягом року не перевищувало 27 % та мало</w:t>
      </w:r>
      <w:r>
        <w:rPr>
          <w:rFonts w:ascii="Times New Roman" w:hAnsi="Times New Roman"/>
          <w:sz w:val="28"/>
          <w:szCs w:val="28"/>
          <w:lang w:val="uk-UA"/>
        </w:rPr>
        <w:t xml:space="preserve"> стійку тенденцію до скорочення</w:t>
      </w:r>
      <w:r w:rsidRPr="00E167A6">
        <w:rPr>
          <w:rFonts w:ascii="Times New Roman" w:hAnsi="Times New Roman"/>
          <w:sz w:val="28"/>
          <w:szCs w:val="28"/>
          <w:lang w:val="uk-UA"/>
        </w:rPr>
        <w:t>. Частка непрацюючих кредитів у корпоративному секторі протягом всього періоду перевищувала середні значення непрацюючих кредитів у портфелях вітчизняних банків та станом на кінець року склала 54,58 %.</w:t>
      </w:r>
    </w:p>
    <w:p w:rsidR="00CF3572" w:rsidRPr="007E4DE7" w:rsidRDefault="00CF3572" w:rsidP="006559A7">
      <w:pPr>
        <w:spacing w:after="0" w:line="240" w:lineRule="auto"/>
        <w:ind w:firstLine="567"/>
        <w:jc w:val="both"/>
        <w:rPr>
          <w:rFonts w:ascii="Times New Roman" w:hAnsi="Times New Roman"/>
          <w:sz w:val="20"/>
          <w:szCs w:val="20"/>
          <w:lang w:val="uk-UA"/>
        </w:rPr>
      </w:pPr>
      <w:r w:rsidRPr="002B5B5C">
        <w:rPr>
          <w:rFonts w:ascii="Times New Roman" w:hAnsi="Times New Roman"/>
          <w:noProof/>
          <w:sz w:val="20"/>
          <w:szCs w:val="20"/>
          <w:lang w:val="en-US"/>
        </w:rPr>
        <w:object w:dxaOrig="8670" w:dyaOrig="4752">
          <v:shape id="Диаграмма 7" o:spid="_x0000_i1027" type="#_x0000_t75" style="width:433.5pt;height:237.75pt;visibility:visible" o:ole="">
            <v:imagedata r:id="rId8" o:title=""/>
            <o:lock v:ext="edit" aspectratio="f"/>
          </v:shape>
          <o:OLEObject Type="Embed" ProgID="Excel.Chart.8" ShapeID="Диаграмма 7" DrawAspect="Content" ObjectID="_1620733265" r:id="rId9"/>
        </w:object>
      </w:r>
    </w:p>
    <w:p w:rsidR="00CF3572" w:rsidRPr="00A91BDC" w:rsidRDefault="00CF3572" w:rsidP="006559A7">
      <w:pPr>
        <w:spacing w:after="0" w:line="240" w:lineRule="auto"/>
        <w:ind w:firstLine="567"/>
        <w:jc w:val="center"/>
        <w:rPr>
          <w:rFonts w:ascii="Times New Roman" w:hAnsi="Times New Roman"/>
          <w:sz w:val="28"/>
          <w:szCs w:val="28"/>
          <w:lang w:val="uk-UA"/>
        </w:rPr>
      </w:pPr>
      <w:r>
        <w:rPr>
          <w:rFonts w:ascii="Times New Roman" w:hAnsi="Times New Roman"/>
          <w:sz w:val="28"/>
          <w:szCs w:val="28"/>
          <w:lang w:val="uk-UA"/>
        </w:rPr>
        <w:t>Рис. 3</w:t>
      </w:r>
      <w:r w:rsidRPr="00A91BDC">
        <w:rPr>
          <w:rFonts w:ascii="Times New Roman" w:hAnsi="Times New Roman"/>
          <w:sz w:val="28"/>
          <w:szCs w:val="28"/>
          <w:lang w:val="uk-UA"/>
        </w:rPr>
        <w:t xml:space="preserve">. Частка непрацюючих кредитів у національній валюті </w:t>
      </w:r>
      <w:r>
        <w:rPr>
          <w:rFonts w:ascii="Times New Roman" w:hAnsi="Times New Roman"/>
          <w:sz w:val="28"/>
          <w:szCs w:val="28"/>
          <w:lang w:val="uk-UA"/>
        </w:rPr>
        <w:t>[3</w:t>
      </w:r>
      <w:r w:rsidRPr="00A91BDC">
        <w:rPr>
          <w:rFonts w:ascii="Times New Roman" w:hAnsi="Times New Roman"/>
          <w:sz w:val="28"/>
          <w:szCs w:val="28"/>
          <w:lang w:val="uk-UA"/>
        </w:rPr>
        <w:t>]</w:t>
      </w:r>
    </w:p>
    <w:p w:rsidR="00CF3572" w:rsidRDefault="00CF3572" w:rsidP="0051356A">
      <w:pPr>
        <w:spacing w:after="0" w:line="360" w:lineRule="auto"/>
        <w:ind w:firstLine="567"/>
        <w:jc w:val="both"/>
        <w:rPr>
          <w:rFonts w:ascii="Times New Roman" w:hAnsi="Times New Roman"/>
          <w:sz w:val="28"/>
          <w:szCs w:val="28"/>
          <w:lang w:val="uk-UA"/>
        </w:rPr>
      </w:pPr>
      <w:r w:rsidRPr="00E167A6">
        <w:rPr>
          <w:rFonts w:ascii="Times New Roman" w:hAnsi="Times New Roman"/>
          <w:sz w:val="28"/>
          <w:szCs w:val="28"/>
          <w:lang w:val="uk-UA"/>
        </w:rPr>
        <w:t>Абсолютно протилежні тенденції демонструють частки непрацюючих кредитів у іноземній валюті. Зокрема, частка непрацюючих кредитів фізичних осіб в іноземній валюті по відношенню до портфеля валютних кредитів протягом усього аналізованого періоду не опускається нижче 95 %. При цьому, протягом 2018 року частка непрацюючих кредитів в іноземній валюті фізичним</w:t>
      </w:r>
      <w:r>
        <w:rPr>
          <w:rFonts w:ascii="Times New Roman" w:hAnsi="Times New Roman"/>
          <w:sz w:val="28"/>
          <w:szCs w:val="28"/>
          <w:lang w:val="uk-UA"/>
        </w:rPr>
        <w:t xml:space="preserve"> особам зросла на 1,01 % (рис. 4</w:t>
      </w:r>
      <w:r w:rsidRPr="00E167A6">
        <w:rPr>
          <w:rFonts w:ascii="Times New Roman" w:hAnsi="Times New Roman"/>
          <w:sz w:val="28"/>
          <w:szCs w:val="28"/>
          <w:lang w:val="uk-UA"/>
        </w:rPr>
        <w:t>).</w:t>
      </w:r>
    </w:p>
    <w:p w:rsidR="00CF3572" w:rsidRPr="00E167A6" w:rsidRDefault="00CF3572" w:rsidP="0051356A">
      <w:pPr>
        <w:spacing w:after="0" w:line="360" w:lineRule="auto"/>
        <w:ind w:firstLine="567"/>
        <w:jc w:val="both"/>
        <w:rPr>
          <w:rFonts w:ascii="Times New Roman" w:hAnsi="Times New Roman"/>
          <w:sz w:val="28"/>
          <w:szCs w:val="28"/>
          <w:lang w:val="uk-UA"/>
        </w:rPr>
      </w:pPr>
      <w:r w:rsidRPr="00E167A6">
        <w:rPr>
          <w:rFonts w:ascii="Times New Roman" w:hAnsi="Times New Roman"/>
          <w:sz w:val="28"/>
          <w:szCs w:val="28"/>
          <w:lang w:val="uk-UA"/>
        </w:rPr>
        <w:t>Частка непрацюючих кредитів в корпоративному секторі є значно нижчою ніж частка непрацюючих кредитів фізичним осо</w:t>
      </w:r>
      <w:r>
        <w:rPr>
          <w:rFonts w:ascii="Times New Roman" w:hAnsi="Times New Roman"/>
          <w:sz w:val="28"/>
          <w:szCs w:val="28"/>
          <w:lang w:val="uk-UA"/>
        </w:rPr>
        <w:t>бам; її значення на кінець 2018 </w:t>
      </w:r>
      <w:r w:rsidRPr="00E167A6">
        <w:rPr>
          <w:rFonts w:ascii="Times New Roman" w:hAnsi="Times New Roman"/>
          <w:sz w:val="28"/>
          <w:szCs w:val="28"/>
          <w:lang w:val="uk-UA"/>
        </w:rPr>
        <w:t xml:space="preserve">р. склало 57,92 %. Однак варто зазначити, що протягом 2018 р. частка непрацюючих кредитів в корпоративному секторі в іноземній валюті теж мала тенденцію до зростання та в </w:t>
      </w:r>
      <w:r>
        <w:rPr>
          <w:rFonts w:ascii="Times New Roman" w:hAnsi="Times New Roman"/>
          <w:sz w:val="28"/>
          <w:szCs w:val="28"/>
          <w:lang w:val="uk-UA"/>
        </w:rPr>
        <w:t>підсумку зросла на 2,9 % (рис. 4</w:t>
      </w:r>
      <w:r w:rsidRPr="00E167A6">
        <w:rPr>
          <w:rFonts w:ascii="Times New Roman" w:hAnsi="Times New Roman"/>
          <w:sz w:val="28"/>
          <w:szCs w:val="28"/>
          <w:lang w:val="uk-UA"/>
        </w:rPr>
        <w:t>).</w:t>
      </w:r>
    </w:p>
    <w:p w:rsidR="00CF3572" w:rsidRPr="007E4DE7" w:rsidRDefault="00CF3572" w:rsidP="006559A7">
      <w:pPr>
        <w:spacing w:after="0" w:line="240" w:lineRule="auto"/>
        <w:ind w:firstLine="567"/>
        <w:jc w:val="both"/>
        <w:rPr>
          <w:rFonts w:ascii="Times New Roman" w:hAnsi="Times New Roman"/>
          <w:sz w:val="20"/>
          <w:szCs w:val="20"/>
          <w:lang w:val="uk-UA"/>
        </w:rPr>
      </w:pPr>
      <w:r w:rsidRPr="002B5B5C">
        <w:rPr>
          <w:rFonts w:ascii="Times New Roman" w:hAnsi="Times New Roman"/>
          <w:noProof/>
          <w:sz w:val="20"/>
          <w:szCs w:val="20"/>
          <w:lang w:val="en-US"/>
        </w:rPr>
        <w:object w:dxaOrig="8670" w:dyaOrig="4656">
          <v:shape id="Диаграмма 8" o:spid="_x0000_i1028" type="#_x0000_t75" style="width:433.5pt;height:233.25pt;visibility:visible" o:ole="">
            <v:imagedata r:id="rId10" o:title="" cropbottom="-56f"/>
            <o:lock v:ext="edit" aspectratio="f"/>
          </v:shape>
          <o:OLEObject Type="Embed" ProgID="Excel.Chart.8" ShapeID="Диаграмма 8" DrawAspect="Content" ObjectID="_1620733266" r:id="rId11"/>
        </w:object>
      </w:r>
    </w:p>
    <w:p w:rsidR="00CF3572" w:rsidRPr="00323C2D" w:rsidRDefault="00CF3572" w:rsidP="00323C2D">
      <w:pPr>
        <w:spacing w:after="0" w:line="360" w:lineRule="auto"/>
        <w:ind w:firstLine="340"/>
        <w:jc w:val="center"/>
        <w:rPr>
          <w:rFonts w:ascii="Times New Roman" w:hAnsi="Times New Roman"/>
          <w:sz w:val="28"/>
          <w:szCs w:val="28"/>
          <w:lang w:val="uk-UA"/>
        </w:rPr>
      </w:pPr>
      <w:r>
        <w:rPr>
          <w:rFonts w:ascii="Times New Roman" w:hAnsi="Times New Roman"/>
          <w:sz w:val="28"/>
          <w:szCs w:val="28"/>
          <w:lang w:val="uk-UA"/>
        </w:rPr>
        <w:t>Рис. 4</w:t>
      </w:r>
      <w:r w:rsidRPr="00323C2D">
        <w:rPr>
          <w:rFonts w:ascii="Times New Roman" w:hAnsi="Times New Roman"/>
          <w:sz w:val="28"/>
          <w:szCs w:val="28"/>
          <w:lang w:val="uk-UA"/>
        </w:rPr>
        <w:t xml:space="preserve">. Частка непрацюючих кредитів в іноземній валюті </w:t>
      </w:r>
      <w:r>
        <w:rPr>
          <w:rFonts w:ascii="Times New Roman" w:hAnsi="Times New Roman"/>
          <w:sz w:val="28"/>
          <w:szCs w:val="28"/>
          <w:lang w:val="uk-UA"/>
        </w:rPr>
        <w:t>[3</w:t>
      </w:r>
      <w:r w:rsidRPr="00323C2D">
        <w:rPr>
          <w:rFonts w:ascii="Times New Roman" w:hAnsi="Times New Roman"/>
          <w:sz w:val="28"/>
          <w:szCs w:val="28"/>
          <w:lang w:val="uk-UA"/>
        </w:rPr>
        <w:t>]</w:t>
      </w:r>
    </w:p>
    <w:p w:rsidR="00CF3572" w:rsidRPr="00E167A6" w:rsidRDefault="00CF3572" w:rsidP="0051356A">
      <w:pPr>
        <w:spacing w:after="0" w:line="360" w:lineRule="auto"/>
        <w:ind w:firstLine="567"/>
        <w:jc w:val="both"/>
        <w:rPr>
          <w:rFonts w:ascii="Times New Roman" w:hAnsi="Times New Roman"/>
          <w:sz w:val="28"/>
          <w:szCs w:val="28"/>
          <w:lang w:val="uk-UA"/>
        </w:rPr>
      </w:pPr>
      <w:r w:rsidRPr="00E167A6">
        <w:rPr>
          <w:rFonts w:ascii="Times New Roman" w:hAnsi="Times New Roman"/>
          <w:sz w:val="28"/>
          <w:szCs w:val="28"/>
          <w:lang w:val="uk-UA"/>
        </w:rPr>
        <w:t xml:space="preserve">Таким чином, проаналізувавши частку непрацюючих кредитів у розрізі валют та категорій позичальників, можна зробити висновок, що протягом 2018 р., коли вимоги Положення НБУ № 351 застосовувались у повному обсязі, частка непрацюючих кредитів у кредитному портфелі банків України майже не змінилася та залишається на високому рівні понад 53 %. При цьому частка непрацюючих кредитів фізичним особам </w:t>
      </w:r>
      <w:r>
        <w:rPr>
          <w:rFonts w:ascii="Times New Roman" w:hAnsi="Times New Roman"/>
          <w:sz w:val="28"/>
          <w:szCs w:val="28"/>
          <w:lang w:val="uk-UA"/>
        </w:rPr>
        <w:t xml:space="preserve">скоротилася </w:t>
      </w:r>
      <w:r w:rsidRPr="00E167A6">
        <w:rPr>
          <w:rFonts w:ascii="Times New Roman" w:hAnsi="Times New Roman"/>
          <w:sz w:val="28"/>
          <w:szCs w:val="28"/>
          <w:lang w:val="uk-UA"/>
        </w:rPr>
        <w:t>із 53,51 % до 48,22 %, а частка непрацюючих кредитів в корпоративному секторі зросла з 56,03 % до 56,26 %.</w:t>
      </w:r>
      <w:r>
        <w:rPr>
          <w:rFonts w:ascii="Times New Roman" w:hAnsi="Times New Roman"/>
          <w:sz w:val="28"/>
          <w:szCs w:val="28"/>
          <w:lang w:val="uk-UA"/>
        </w:rPr>
        <w:t xml:space="preserve"> Таким чином</w:t>
      </w:r>
      <w:r w:rsidRPr="00E167A6">
        <w:rPr>
          <w:rFonts w:ascii="Times New Roman" w:hAnsi="Times New Roman"/>
          <w:sz w:val="28"/>
          <w:szCs w:val="28"/>
          <w:lang w:val="uk-UA"/>
        </w:rPr>
        <w:t xml:space="preserve"> на фоні зростання обсягів кредитування корпоративного сектору пропорційно зростають обсяги та частка непрацюючих кредитів, що свідчить про те, що банки продовжують кредитувати неплатоспроможних позичальників, не зважаючи на нові підходи до оцінки кредитного ризику. Отже</w:t>
      </w:r>
      <w:r>
        <w:rPr>
          <w:rFonts w:ascii="Times New Roman" w:hAnsi="Times New Roman"/>
          <w:sz w:val="28"/>
          <w:szCs w:val="28"/>
          <w:lang w:val="uk-UA"/>
        </w:rPr>
        <w:t>,</w:t>
      </w:r>
      <w:r w:rsidRPr="00E167A6">
        <w:rPr>
          <w:rFonts w:ascii="Times New Roman" w:hAnsi="Times New Roman"/>
          <w:sz w:val="28"/>
          <w:szCs w:val="28"/>
          <w:lang w:val="uk-UA"/>
        </w:rPr>
        <w:t xml:space="preserve"> статистичні дані доводять невисоку ефективність діючої методики НБУ щодо визначення рівня кредитного ризику позичальника – юридичної особи.</w:t>
      </w:r>
    </w:p>
    <w:p w:rsidR="00CF3572" w:rsidRPr="00E167A6" w:rsidRDefault="00CF3572" w:rsidP="0051356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Крім того,</w:t>
      </w:r>
      <w:r w:rsidRPr="00E167A6">
        <w:rPr>
          <w:rFonts w:ascii="Times New Roman" w:hAnsi="Times New Roman"/>
          <w:sz w:val="28"/>
          <w:szCs w:val="28"/>
          <w:lang w:val="uk-UA"/>
        </w:rPr>
        <w:t xml:space="preserve"> в економічній літературі існує критика методики НБУ щодо визначення рівня кредитного ризику позичальника-юридичної особи. Зокрема, науковці обґрунтовують такі її недоліки: неврахування якісних факторів впливу на кредитоспроможність позичальника; недостатня увага приділена інтерпретації одержаного інтегрального показника, за допомогою якого визначається клас позичальника; необхідність високої достовірності даних фінансової звітності; [1</w:t>
      </w:r>
      <w:r>
        <w:rPr>
          <w:rFonts w:ascii="Times New Roman" w:hAnsi="Times New Roman"/>
          <w:sz w:val="28"/>
          <w:szCs w:val="28"/>
          <w:lang w:val="uk-UA"/>
        </w:rPr>
        <w:t>, с. 125];</w:t>
      </w:r>
      <w:r w:rsidRPr="00E167A6">
        <w:rPr>
          <w:rFonts w:ascii="Times New Roman" w:hAnsi="Times New Roman"/>
          <w:sz w:val="28"/>
          <w:szCs w:val="28"/>
          <w:lang w:val="uk-UA"/>
        </w:rPr>
        <w:t xml:space="preserve"> необхідність додаткового наукового обґрунтування вагових коефіцієнтів при використанні скорингової моделі; недостатня кількість фінансових коефіцієнтів, що використовуються в моделях визначення інтегрального показника для різних видів економічної діяльності [2, с. 113].</w:t>
      </w:r>
    </w:p>
    <w:p w:rsidR="00CF3572" w:rsidRPr="00E167A6" w:rsidRDefault="00CF3572" w:rsidP="0051356A">
      <w:pPr>
        <w:spacing w:after="0" w:line="360" w:lineRule="auto"/>
        <w:ind w:firstLine="567"/>
        <w:jc w:val="both"/>
        <w:rPr>
          <w:rFonts w:ascii="Times New Roman" w:hAnsi="Times New Roman"/>
          <w:sz w:val="28"/>
          <w:szCs w:val="28"/>
          <w:lang w:val="uk-UA"/>
        </w:rPr>
      </w:pPr>
      <w:r w:rsidRPr="00E167A6">
        <w:rPr>
          <w:rFonts w:ascii="Times New Roman" w:hAnsi="Times New Roman"/>
          <w:sz w:val="28"/>
          <w:szCs w:val="28"/>
          <w:lang w:val="uk-UA"/>
        </w:rPr>
        <w:t>Беззаперечно оцінка рівня кредитного ризику є важливим процесом аналізу кредитоспроможності позичальника. Фахівці НБУ зауважують, що Базельський комітет з питань банківського нагляду приділяє велику увагу розвитку належного підґрунтя для кількісної оцінки кредитного ризику та заохочує впровадження підходу на основі внутрішнього рейтингу (IRB). Банкам рекомендується розробляти власні внутрішні моделі аби належним чином оцінювати своїх клієнтів, що сприятиме наявності в банків достатнього обсягу капіталу дл</w:t>
      </w:r>
      <w:r>
        <w:rPr>
          <w:rFonts w:ascii="Times New Roman" w:hAnsi="Times New Roman"/>
          <w:sz w:val="28"/>
          <w:szCs w:val="28"/>
          <w:lang w:val="uk-UA"/>
        </w:rPr>
        <w:t>я покриття очікуваних збитків [4</w:t>
      </w:r>
      <w:r w:rsidRPr="00E167A6">
        <w:rPr>
          <w:rFonts w:ascii="Times New Roman" w:hAnsi="Times New Roman"/>
          <w:sz w:val="28"/>
          <w:szCs w:val="28"/>
          <w:lang w:val="uk-UA"/>
        </w:rPr>
        <w:t>, с. 53]. Водночас, в Україні для розрахунку кредитного ризику НБУ зобов’язує банки використовувати одну конкретну економетричну модель, без можливості розробки власних методик. Таке рішення в НБУ обґрунтовують тим, що багато українських банків не мають добре налагоджених кредитних процесів, заснованих на загальноприйнятих статистичних підходах, тому не можна повною мірою довіряти ї</w:t>
      </w:r>
      <w:r>
        <w:rPr>
          <w:rFonts w:ascii="Times New Roman" w:hAnsi="Times New Roman"/>
          <w:sz w:val="28"/>
          <w:szCs w:val="28"/>
          <w:lang w:val="uk-UA"/>
        </w:rPr>
        <w:t>хній оцінці кредитного ризику [4</w:t>
      </w:r>
      <w:r w:rsidRPr="00E167A6">
        <w:rPr>
          <w:rFonts w:ascii="Times New Roman" w:hAnsi="Times New Roman"/>
          <w:sz w:val="28"/>
          <w:szCs w:val="28"/>
          <w:lang w:val="uk-UA"/>
        </w:rPr>
        <w:t>, с. 53].</w:t>
      </w:r>
      <w:r>
        <w:rPr>
          <w:rFonts w:ascii="Times New Roman" w:hAnsi="Times New Roman"/>
          <w:sz w:val="28"/>
          <w:szCs w:val="28"/>
          <w:lang w:val="uk-UA"/>
        </w:rPr>
        <w:t>В</w:t>
      </w:r>
      <w:r w:rsidRPr="00E167A6">
        <w:rPr>
          <w:rFonts w:ascii="Times New Roman" w:hAnsi="Times New Roman"/>
          <w:sz w:val="28"/>
          <w:szCs w:val="28"/>
          <w:lang w:val="uk-UA"/>
        </w:rPr>
        <w:t xml:space="preserve"> процесі свого дослідження </w:t>
      </w:r>
      <w:r>
        <w:rPr>
          <w:rFonts w:ascii="Times New Roman" w:hAnsi="Times New Roman"/>
          <w:sz w:val="28"/>
          <w:szCs w:val="28"/>
          <w:lang w:val="uk-UA"/>
        </w:rPr>
        <w:t>Д.</w:t>
      </w:r>
      <w:r w:rsidRPr="00E167A6">
        <w:rPr>
          <w:rFonts w:ascii="Times New Roman" w:hAnsi="Times New Roman"/>
          <w:sz w:val="28"/>
          <w:szCs w:val="28"/>
          <w:lang w:val="uk-UA"/>
        </w:rPr>
        <w:t>Подікін наводить і ряд недоліків економетричної моделі НБУ, а саме галузевий поділ підприємств-позичальників є досить умовним, оскільки різні галузі з різною тривалістю виробничого циклу та іншими особливостями об’єднано у групи, за якими закріплено економетричну модель з конкретними показниками. Усунути цей недолік неможливо, оскільки статистичних даних фінансової звітності позичальників у НБУ недостатньо для повноцінного поділу їх на всі галузі. Крім того</w:t>
      </w:r>
      <w:r>
        <w:rPr>
          <w:rFonts w:ascii="Times New Roman" w:hAnsi="Times New Roman"/>
          <w:sz w:val="28"/>
          <w:szCs w:val="28"/>
          <w:lang w:val="uk-UA"/>
        </w:rPr>
        <w:t>,</w:t>
      </w:r>
      <w:r w:rsidRPr="00E167A6">
        <w:rPr>
          <w:rFonts w:ascii="Times New Roman" w:hAnsi="Times New Roman"/>
          <w:sz w:val="28"/>
          <w:szCs w:val="28"/>
          <w:lang w:val="uk-UA"/>
        </w:rPr>
        <w:t xml:space="preserve"> порядок наповнення моделі коефіцієнтами теж викликає ряд питань, адже більшість економетричних моделей в розрізі груп галузей охоплюють тільки 4-6 коефіцієнтів, що не дає гарантії повноцінної оцінки рівня кредитного ризику та фінансового стану підприємства.</w:t>
      </w:r>
    </w:p>
    <w:p w:rsidR="00CF3572" w:rsidRDefault="00CF3572" w:rsidP="0051356A">
      <w:pPr>
        <w:spacing w:after="0" w:line="360" w:lineRule="auto"/>
        <w:ind w:firstLine="567"/>
        <w:jc w:val="both"/>
        <w:rPr>
          <w:rFonts w:ascii="Times New Roman" w:hAnsi="Times New Roman"/>
          <w:sz w:val="28"/>
          <w:szCs w:val="28"/>
          <w:lang w:val="uk-UA"/>
        </w:rPr>
      </w:pPr>
      <w:r w:rsidRPr="00E167A6">
        <w:rPr>
          <w:rFonts w:ascii="Times New Roman" w:hAnsi="Times New Roman"/>
          <w:sz w:val="28"/>
          <w:szCs w:val="28"/>
          <w:lang w:val="uk-UA"/>
        </w:rPr>
        <w:t>Отже, застосування єдиної методики оцінки рівня кредитного ризику позичальників-юридичних осіб всіма банками, виходячи із аналізу статистичних даних щодо непрацюючих кредитів не дає бажаного результату щодо скорочення частки останніх. Крім того, позиція НБУ щодо того, що багато українських банків не мають добре налагоджених кредитних процесів, заснованих на загальноприйнятих статистичних підходах є теж недостатньо обґрунтованою, адже ряд банків достатньо давно працює на кредитному ринку України, однак «загальні правила для всіх» унеможливлюють їх право використовувати власний досвід. На нашу думку, цю проблему можна було б вирішити шляхом затвердження банківських методик оцінки рівня кредитного ризику в НБУ перед початком їх використання, що дасть можливість перевірити їх адекватність сучасним умовам, а новоствореним банкам, які не мають досвіду оцінки кредитних ризиків на перших 3-5 років запропонувати моделі, розроблені НБУ, до моменту накопичення власного досвіду щодо оцінки кредитних ризиків та розробки власної методики.</w:t>
      </w:r>
    </w:p>
    <w:p w:rsidR="00CF3572" w:rsidRDefault="00CF3572" w:rsidP="00E167A6">
      <w:pPr>
        <w:spacing w:after="0" w:line="360" w:lineRule="auto"/>
        <w:ind w:firstLine="340"/>
        <w:jc w:val="both"/>
        <w:rPr>
          <w:rFonts w:ascii="Times New Roman" w:hAnsi="Times New Roman"/>
          <w:sz w:val="28"/>
          <w:szCs w:val="28"/>
          <w:lang w:val="uk-UA"/>
        </w:rPr>
      </w:pPr>
    </w:p>
    <w:p w:rsidR="00CF3572" w:rsidRPr="00217697" w:rsidRDefault="00CF3572" w:rsidP="004A7564">
      <w:pPr>
        <w:spacing w:after="0" w:line="360" w:lineRule="auto"/>
        <w:rPr>
          <w:rFonts w:ascii="Times New Roman" w:hAnsi="Times New Roman"/>
          <w:b/>
          <w:sz w:val="28"/>
          <w:szCs w:val="28"/>
          <w:lang w:val="uk-UA"/>
        </w:rPr>
      </w:pPr>
      <w:r>
        <w:rPr>
          <w:rFonts w:ascii="Times New Roman" w:hAnsi="Times New Roman"/>
          <w:b/>
          <w:sz w:val="28"/>
          <w:szCs w:val="28"/>
          <w:lang w:val="uk-UA"/>
        </w:rPr>
        <w:t>Література</w:t>
      </w:r>
      <w:r w:rsidRPr="00217697">
        <w:rPr>
          <w:rFonts w:ascii="Times New Roman" w:hAnsi="Times New Roman"/>
          <w:b/>
          <w:sz w:val="28"/>
          <w:szCs w:val="28"/>
          <w:lang w:val="uk-UA"/>
        </w:rPr>
        <w:t>:</w:t>
      </w:r>
    </w:p>
    <w:p w:rsidR="00CF3572" w:rsidRPr="00217697" w:rsidRDefault="00CF3572" w:rsidP="00217697">
      <w:pPr>
        <w:spacing w:after="0" w:line="360" w:lineRule="auto"/>
        <w:ind w:firstLine="340"/>
        <w:jc w:val="both"/>
        <w:rPr>
          <w:rFonts w:ascii="Times New Roman" w:hAnsi="Times New Roman"/>
          <w:sz w:val="28"/>
          <w:szCs w:val="28"/>
          <w:lang w:val="uk-UA"/>
        </w:rPr>
      </w:pPr>
      <w:r w:rsidRPr="00217697">
        <w:rPr>
          <w:rFonts w:ascii="Times New Roman" w:hAnsi="Times New Roman"/>
          <w:sz w:val="28"/>
          <w:szCs w:val="28"/>
          <w:lang w:val="uk-UA"/>
        </w:rPr>
        <w:t>1. Виговська Н.Г., Виговський В</w:t>
      </w:r>
      <w:bookmarkStart w:id="0" w:name="_GoBack"/>
      <w:bookmarkEnd w:id="0"/>
      <w:r w:rsidRPr="00217697">
        <w:rPr>
          <w:rFonts w:ascii="Times New Roman" w:hAnsi="Times New Roman"/>
          <w:sz w:val="28"/>
          <w:szCs w:val="28"/>
          <w:lang w:val="uk-UA"/>
        </w:rPr>
        <w:t xml:space="preserve">.Г., Сімеонова Г. Формування механізму оцінки кредитоспроможності позичальника в умовах економічної нестабільності. Вісник </w:t>
      </w:r>
      <w:r>
        <w:rPr>
          <w:rFonts w:ascii="Times New Roman" w:hAnsi="Times New Roman"/>
          <w:sz w:val="28"/>
          <w:szCs w:val="28"/>
          <w:lang w:val="uk-UA"/>
        </w:rPr>
        <w:t>ЖДТУ</w:t>
      </w:r>
      <w:r w:rsidRPr="00217697">
        <w:rPr>
          <w:rFonts w:ascii="Times New Roman" w:hAnsi="Times New Roman"/>
          <w:sz w:val="28"/>
          <w:szCs w:val="28"/>
          <w:lang w:val="uk-UA"/>
        </w:rPr>
        <w:t xml:space="preserve">. Серія : Економічні науки. 2016. № 2. С. 117–129. </w:t>
      </w:r>
    </w:p>
    <w:p w:rsidR="00CF3572" w:rsidRPr="00217697" w:rsidRDefault="00CF3572" w:rsidP="00217697">
      <w:pPr>
        <w:spacing w:after="0" w:line="360" w:lineRule="auto"/>
        <w:ind w:firstLine="340"/>
        <w:jc w:val="both"/>
        <w:rPr>
          <w:rFonts w:ascii="Times New Roman" w:hAnsi="Times New Roman"/>
          <w:sz w:val="28"/>
          <w:szCs w:val="28"/>
          <w:lang w:val="uk-UA"/>
        </w:rPr>
      </w:pPr>
      <w:r w:rsidRPr="00217697">
        <w:rPr>
          <w:rFonts w:ascii="Times New Roman" w:hAnsi="Times New Roman"/>
          <w:sz w:val="28"/>
          <w:szCs w:val="28"/>
          <w:lang w:val="uk-UA"/>
        </w:rPr>
        <w:t xml:space="preserve">2. Виговська Н.Г., Виговський В.Г. Розвиток методичного інструментарію оцінки кредитоспроможності підприємств з врахуванням позабалансових ризиків. </w:t>
      </w:r>
      <w:r>
        <w:rPr>
          <w:rFonts w:ascii="Times New Roman" w:hAnsi="Times New Roman"/>
          <w:sz w:val="28"/>
          <w:szCs w:val="28"/>
          <w:lang w:val="uk-UA"/>
        </w:rPr>
        <w:t>ЖДТУ</w:t>
      </w:r>
      <w:r w:rsidRPr="00217697">
        <w:rPr>
          <w:rFonts w:ascii="Times New Roman" w:hAnsi="Times New Roman"/>
          <w:sz w:val="28"/>
          <w:szCs w:val="28"/>
          <w:lang w:val="uk-UA"/>
        </w:rPr>
        <w:t>. Серія: Економічні науки. 2017. № 82(4). С 111-116</w:t>
      </w:r>
    </w:p>
    <w:p w:rsidR="00CF3572" w:rsidRPr="00217697" w:rsidRDefault="00CF3572" w:rsidP="00217697">
      <w:pPr>
        <w:spacing w:after="0" w:line="360" w:lineRule="auto"/>
        <w:ind w:firstLine="340"/>
        <w:jc w:val="both"/>
        <w:rPr>
          <w:rFonts w:ascii="Times New Roman" w:hAnsi="Times New Roman"/>
          <w:sz w:val="28"/>
          <w:szCs w:val="28"/>
          <w:lang w:val="uk-UA"/>
        </w:rPr>
      </w:pPr>
      <w:r>
        <w:rPr>
          <w:rFonts w:ascii="Times New Roman" w:hAnsi="Times New Roman"/>
          <w:sz w:val="28"/>
          <w:szCs w:val="28"/>
          <w:lang w:val="uk-UA"/>
        </w:rPr>
        <w:t>3. </w:t>
      </w:r>
      <w:r w:rsidRPr="00217697">
        <w:rPr>
          <w:rFonts w:ascii="Times New Roman" w:hAnsi="Times New Roman"/>
          <w:sz w:val="28"/>
          <w:szCs w:val="28"/>
          <w:lang w:val="uk-UA"/>
        </w:rPr>
        <w:t>Офіційний сайт Національного банку України. URL: https://bank.gov.ua/control/uk/index</w:t>
      </w:r>
    </w:p>
    <w:p w:rsidR="00CF3572" w:rsidRDefault="00CF3572" w:rsidP="00217697">
      <w:pPr>
        <w:spacing w:after="0" w:line="360" w:lineRule="auto"/>
        <w:ind w:firstLine="340"/>
        <w:jc w:val="both"/>
        <w:rPr>
          <w:rFonts w:ascii="Times New Roman" w:hAnsi="Times New Roman"/>
          <w:sz w:val="28"/>
          <w:szCs w:val="28"/>
          <w:lang w:val="uk-UA"/>
        </w:rPr>
      </w:pPr>
      <w:r>
        <w:rPr>
          <w:rFonts w:ascii="Times New Roman" w:hAnsi="Times New Roman"/>
          <w:sz w:val="28"/>
          <w:szCs w:val="28"/>
          <w:lang w:val="uk-UA"/>
        </w:rPr>
        <w:t xml:space="preserve">4. </w:t>
      </w:r>
      <w:r w:rsidRPr="00217697">
        <w:rPr>
          <w:rFonts w:ascii="Times New Roman" w:hAnsi="Times New Roman"/>
          <w:sz w:val="28"/>
          <w:szCs w:val="28"/>
          <w:lang w:val="uk-UA"/>
        </w:rPr>
        <w:t>Подікін Д. Економетрична модель Національного банку України для оцінки кредитного ризику банку та альтернативний метод опорних векторів. Вісник НБУ. 2015. № 12. С. 53-75</w:t>
      </w:r>
    </w:p>
    <w:p w:rsidR="00CF3572" w:rsidRDefault="00CF3572" w:rsidP="00266714">
      <w:pPr>
        <w:spacing w:after="0" w:line="360" w:lineRule="auto"/>
        <w:ind w:firstLine="340"/>
        <w:jc w:val="right"/>
        <w:rPr>
          <w:rFonts w:ascii="Times New Roman" w:hAnsi="Times New Roman"/>
          <w:b/>
          <w:sz w:val="28"/>
          <w:szCs w:val="28"/>
          <w:lang w:val="uk-UA"/>
        </w:rPr>
      </w:pPr>
      <w:r w:rsidRPr="00266714">
        <w:rPr>
          <w:rFonts w:ascii="Times New Roman" w:hAnsi="Times New Roman"/>
          <w:b/>
          <w:sz w:val="28"/>
          <w:szCs w:val="28"/>
          <w:lang w:val="uk-UA"/>
        </w:rPr>
        <w:t>Науковий керівник:</w:t>
      </w:r>
    </w:p>
    <w:p w:rsidR="00CF3572" w:rsidRDefault="00CF3572" w:rsidP="00266714">
      <w:pPr>
        <w:spacing w:after="0" w:line="360" w:lineRule="auto"/>
        <w:ind w:firstLine="340"/>
        <w:jc w:val="right"/>
        <w:rPr>
          <w:rFonts w:ascii="Times New Roman" w:hAnsi="Times New Roman"/>
          <w:sz w:val="28"/>
          <w:szCs w:val="28"/>
          <w:lang w:val="uk-UA"/>
        </w:rPr>
      </w:pPr>
      <w:r>
        <w:rPr>
          <w:rFonts w:ascii="Times New Roman" w:hAnsi="Times New Roman"/>
          <w:sz w:val="28"/>
          <w:szCs w:val="28"/>
          <w:lang w:val="uk-UA"/>
        </w:rPr>
        <w:t>доктор економічних наук, професор, Петрук Олександр Михайлович.</w:t>
      </w:r>
    </w:p>
    <w:sectPr w:rsidR="00CF3572" w:rsidSect="00E167A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448B"/>
    <w:rsid w:val="00070019"/>
    <w:rsid w:val="000D04FC"/>
    <w:rsid w:val="000F3876"/>
    <w:rsid w:val="001E4CBA"/>
    <w:rsid w:val="00217697"/>
    <w:rsid w:val="00266714"/>
    <w:rsid w:val="002A67FA"/>
    <w:rsid w:val="002B5B5C"/>
    <w:rsid w:val="00323C2D"/>
    <w:rsid w:val="003B72F2"/>
    <w:rsid w:val="004336E1"/>
    <w:rsid w:val="00451C8D"/>
    <w:rsid w:val="004747B0"/>
    <w:rsid w:val="004A7564"/>
    <w:rsid w:val="004B5B4F"/>
    <w:rsid w:val="0051356A"/>
    <w:rsid w:val="00576C61"/>
    <w:rsid w:val="006559A7"/>
    <w:rsid w:val="007E4DE7"/>
    <w:rsid w:val="00812592"/>
    <w:rsid w:val="008E224E"/>
    <w:rsid w:val="009C1DE8"/>
    <w:rsid w:val="00A91BDC"/>
    <w:rsid w:val="00B4448B"/>
    <w:rsid w:val="00B83790"/>
    <w:rsid w:val="00B95163"/>
    <w:rsid w:val="00BD32F5"/>
    <w:rsid w:val="00CF3572"/>
    <w:rsid w:val="00E167A6"/>
    <w:rsid w:val="00EA15B9"/>
    <w:rsid w:val="00ED2B97"/>
    <w:rsid w:val="00F261E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C61"/>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5" Type="http://schemas.openxmlformats.org/officeDocument/2006/relationships/oleObject" Target="embeddings/oleObject1.bin"/><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411</TotalTime>
  <Pages>8</Pages>
  <Words>7124</Words>
  <Characters>4061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Admin</cp:lastModifiedBy>
  <cp:revision>8</cp:revision>
  <dcterms:created xsi:type="dcterms:W3CDTF">2019-05-24T18:55:00Z</dcterms:created>
  <dcterms:modified xsi:type="dcterms:W3CDTF">2019-05-30T11:55:00Z</dcterms:modified>
</cp:coreProperties>
</file>