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674B9" w14:textId="77777777" w:rsidR="00AB3D38" w:rsidRPr="00ED7129" w:rsidRDefault="00115A82" w:rsidP="00E4341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bookmarkStart w:id="0" w:name="_GoBack"/>
      <w:bookmarkEnd w:id="0"/>
      <w:r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>Ірина</w:t>
      </w:r>
      <w:r w:rsidR="00AB3D38"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Бурлакова</w:t>
      </w:r>
    </w:p>
    <w:p w14:paraId="2AC8C549" w14:textId="77777777" w:rsidR="00CF7BA8" w:rsidRPr="00ED7129" w:rsidRDefault="00CF7BA8" w:rsidP="00E4341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>(м. Сєвєродонецьк, Україна)</w:t>
      </w:r>
    </w:p>
    <w:p w14:paraId="73454075" w14:textId="77777777" w:rsidR="00AB3D38" w:rsidRPr="00ED7129" w:rsidRDefault="00115A82" w:rsidP="00E4341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>Тетяна</w:t>
      </w:r>
      <w:r w:rsidR="00AB3D38"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proofErr w:type="spellStart"/>
      <w:r w:rsidR="00AB3D38"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>Кондес</w:t>
      </w:r>
      <w:proofErr w:type="spellEnd"/>
    </w:p>
    <w:p w14:paraId="42C6B886" w14:textId="77777777" w:rsidR="00AB3D38" w:rsidRPr="00ED7129" w:rsidRDefault="00AB3D38" w:rsidP="00E4341D">
      <w:pPr>
        <w:spacing w:after="0" w:line="360" w:lineRule="auto"/>
        <w:jc w:val="right"/>
        <w:rPr>
          <w:rFonts w:ascii="Times New Roman" w:hAnsi="Times New Roman" w:cs="Times New Roman"/>
          <w:i/>
          <w:iCs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>(</w:t>
      </w:r>
      <w:r w:rsidR="00115A82"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м. </w:t>
      </w:r>
      <w:r w:rsidRPr="00ED7129">
        <w:rPr>
          <w:rFonts w:ascii="Times New Roman" w:hAnsi="Times New Roman" w:cs="Times New Roman"/>
          <w:i/>
          <w:iCs/>
          <w:sz w:val="28"/>
          <w:szCs w:val="28"/>
          <w:lang w:val="uk-UA"/>
        </w:rPr>
        <w:t>Київ, Україна)</w:t>
      </w:r>
    </w:p>
    <w:p w14:paraId="5CA1B56F" w14:textId="77777777" w:rsidR="00115A82" w:rsidRPr="00ED7129" w:rsidRDefault="00115A82" w:rsidP="00E4341D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42BA4B7A" w14:textId="77777777" w:rsidR="00AB3D38" w:rsidRPr="00ED7129" w:rsidRDefault="00AB3D38" w:rsidP="00E4341D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b/>
          <w:bCs/>
          <w:sz w:val="28"/>
          <w:szCs w:val="28"/>
          <w:lang w:val="uk-UA"/>
        </w:rPr>
        <w:t>ПСИХОЛОГІЯ</w:t>
      </w:r>
    </w:p>
    <w:p w14:paraId="7FEE4D3A" w14:textId="77777777" w:rsidR="00AB3D38" w:rsidRPr="00ED7129" w:rsidRDefault="00AB3D38" w:rsidP="00E4341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50D5C" w:rsidRPr="00ED7129">
        <w:rPr>
          <w:rFonts w:ascii="Times New Roman" w:hAnsi="Times New Roman" w:cs="Times New Roman"/>
          <w:sz w:val="28"/>
          <w:szCs w:val="28"/>
          <w:lang w:val="uk-UA"/>
        </w:rPr>
        <w:t>Соціальна психологія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741595F7" w14:textId="77777777" w:rsidR="00115A82" w:rsidRPr="00ED7129" w:rsidRDefault="00115A82" w:rsidP="00E4341D">
      <w:pPr>
        <w:spacing w:after="0"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B271425" w14:textId="77777777" w:rsidR="00C50D5C" w:rsidRPr="00ED7129" w:rsidRDefault="00C50D5C" w:rsidP="00572120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ІННОВАЦІЙНІ ПІДХОДИ ДО ФОРМУВАННЯ КУЛЬТУРИ ЗДОРОВ’Я НА РОБОЧОМУ МІСЦІ</w:t>
      </w:r>
    </w:p>
    <w:p w14:paraId="253CD38B" w14:textId="77777777" w:rsidR="00115A82" w:rsidRPr="00ED7129" w:rsidRDefault="00115A82" w:rsidP="00115A82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98C37F7" w14:textId="77777777" w:rsidR="007E655D" w:rsidRPr="00ED7129" w:rsidRDefault="00A14808" w:rsidP="0057212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Культура безпеки та охорони здоров'я організації відображає цінності, ставлення, сприйняття, компетенції та поведінку людей, які там працюють.</w:t>
      </w:r>
      <w:r w:rsidR="00572120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Вона відображає зобов'язання організації та її пріоритетність, безпеку та здоров'я</w:t>
      </w:r>
      <w:r w:rsidR="00585007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. Елементи культури безпеки та охорони здоров'я можуть бути поділені на три категорії: 1) організаційні - політики, процедури та системи, що стосуються безпеки та охорони здоров'я; 2) психологічні - індивідуальн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е</w:t>
      </w:r>
      <w:r w:rsidR="00585007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сприйняття, установки і цінності; 3) поведінкові 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–</w:t>
      </w:r>
      <w:r w:rsidR="00585007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моделі поведінки </w:t>
      </w:r>
      <w:r w:rsidR="00585007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люд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ей щодо свого</w:t>
      </w:r>
      <w:r w:rsidR="00585007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здоров'я та безпека. </w:t>
      </w:r>
    </w:p>
    <w:p w14:paraId="034BC89D" w14:textId="77777777" w:rsidR="00BC3543" w:rsidRPr="00ED7129" w:rsidRDefault="00572120" w:rsidP="0057212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Культура здоров'я працівника</w:t>
      </w:r>
      <w:r w:rsidR="00BC3543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створює процеси та структури для підтримки керівництва та працівників у досягненні цілей, пов'язаних зі здоров'ям, і надає доступ до ресурсів для з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ниження</w:t>
      </w:r>
      <w:r w:rsidR="00BC3543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ризиків для здоров'я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BC3543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оптимізації та ефективності</w:t>
      </w:r>
      <w:r w:rsidR="007E655D" w:rsidRPr="00ED712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функцій.</w:t>
      </w:r>
    </w:p>
    <w:p w14:paraId="0D5BE643" w14:textId="77777777" w:rsidR="00A14808" w:rsidRPr="00ED7129" w:rsidRDefault="00A14808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На поведінку людей </w:t>
      </w:r>
      <w:r w:rsidR="00A34737" w:rsidRPr="00ED7129">
        <w:rPr>
          <w:rFonts w:ascii="Times New Roman" w:hAnsi="Times New Roman" w:cs="Times New Roman"/>
          <w:sz w:val="28"/>
          <w:szCs w:val="28"/>
          <w:lang w:val="uk-UA"/>
        </w:rPr>
        <w:t>відчутно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впливає робоче середовище, організація, в якій люди працюють, і дизайн роботи, яку вони </w:t>
      </w:r>
      <w:r w:rsidR="00A34737" w:rsidRPr="00ED7129">
        <w:rPr>
          <w:rFonts w:ascii="Times New Roman" w:hAnsi="Times New Roman" w:cs="Times New Roman"/>
          <w:sz w:val="28"/>
          <w:szCs w:val="28"/>
          <w:lang w:val="uk-UA"/>
        </w:rPr>
        <w:t>виконують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8104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>Найпростіша модель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робочого місця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включає три компоненти, за допомогою яких роботодавець може вплинути на здоров'я і благополуччя своїх працівників. 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>Це</w:t>
      </w:r>
      <w:r w:rsidR="00572120" w:rsidRPr="00ED712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>фізичне трудове середовище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>фізичні і хімічні властивості повітря, шум та умови освітлення, якість робочого приміщення, обладнання або інвентарю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; психосоціальне середовище співвідноситься з режимом праці, куди включені 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робочі години, відповідальність, відносини з керівництвом і співробітниками, контроль фахівців за своїм професійним здоров'ям, а також підтримка, що отримується від сім'ї, друзів</w:t>
      </w:r>
      <w:r w:rsidR="00226095" w:rsidRPr="00ED7129">
        <w:rPr>
          <w:rFonts w:ascii="Times New Roman" w:hAnsi="Times New Roman" w:cs="Times New Roman"/>
          <w:sz w:val="28"/>
          <w:szCs w:val="28"/>
          <w:lang w:val="uk-UA"/>
        </w:rPr>
        <w:t>, тренерів</w:t>
      </w:r>
      <w:r w:rsidR="00572120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та консультантів;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спосіб життя - це ті аспекти буденного життя людини, які впливають на її здоров'я, наприклад, куріння, вживання алкоголю, звички харчування, сон, вживання ліків або наркотичних речовин, захоплення фізичною культурою </w:t>
      </w:r>
      <w:r w:rsidR="008F3BD3" w:rsidRPr="00ED7129">
        <w:rPr>
          <w:rFonts w:ascii="Times New Roman" w:hAnsi="Times New Roman" w:cs="Times New Roman"/>
          <w:sz w:val="28"/>
          <w:szCs w:val="28"/>
          <w:lang w:val="uk-UA"/>
        </w:rPr>
        <w:t>тощо</w:t>
      </w:r>
      <w:r w:rsidR="00681044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9D46CD" w14:textId="77777777" w:rsidR="00226095" w:rsidRPr="00ED7129" w:rsidRDefault="00226095" w:rsidP="005721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Щоб забезпечити збереження конкурентоспроможності підприємства, зусилля, пов'язані зі здоров'ям, безпекою та благополуччям, повинні бути «збалансовані» продуктивністю праці та фінансовими інтересами. Підприємці вважають, що витрачені на здоров'я та безпеку гроші - це засоби, вилучені з прибутку. Насправді ж дії керівництва, які підтримують професійне здоров'я працівників, ведуть до сприятливого кінцевого результату в сфері зміцнення здоров'я. Всі підприємства, будь то великі чи дрібні, де мали місце серйозні травми на робочих місцях, або низькі показники безпеки, на власному досвіді знають, що означають витрати, пов'язані з компенсаціями працівникам.</w:t>
      </w:r>
    </w:p>
    <w:p w14:paraId="41B1E244" w14:textId="77777777" w:rsidR="00DD7A9E" w:rsidRPr="00ED7129" w:rsidRDefault="00226095" w:rsidP="005721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Рівень професійної захворюваності напряму корелюється з умовами праці на виробництві. Професійна захворюваність розглядається як складова частина загальної захворюваності населення і представляє категорію хвороб, що виникають у результаті дії шкідливих та небезпечних чинників виробничого середовища і трудового процесу</w:t>
      </w:r>
      <w:r w:rsidR="00E61028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[</w:t>
      </w:r>
      <w:r w:rsidR="00B37118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E61028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]</w:t>
      </w:r>
      <w:r w:rsidR="00572120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DD7A9E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У структурі професійної захворюваності найчастіше реєструються</w:t>
      </w:r>
      <w:r w:rsidR="00DD7A9E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наступні дев'ять ризиків для здоров'я: високий кров'яний тиск; 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гіпокінезія (фізична бездіяльність); </w:t>
      </w:r>
      <w:r w:rsidR="00E61028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проблеми опорно-рухового апарату</w:t>
      </w:r>
      <w:r w:rsidR="00DD7A9E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незбалансоване харчування; надмірне вживання алкоголю; </w:t>
      </w:r>
      <w:r w:rsidR="00E61028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надмірний рівень холестерину; </w:t>
      </w:r>
      <w:r w:rsidR="00DD7A9E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використання тютюну; сильний  стрес і депресія (проблеми з </w:t>
      </w:r>
      <w:proofErr w:type="spellStart"/>
      <w:r w:rsidR="00DD7A9E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копінгом</w:t>
      </w:r>
      <w:proofErr w:type="spellEnd"/>
      <w:r w:rsidR="00DD7A9E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).</w:t>
      </w:r>
    </w:p>
    <w:p w14:paraId="60422298" w14:textId="77777777" w:rsidR="00464A53" w:rsidRPr="00ED7129" w:rsidRDefault="00464A53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Одна з причин створення сприятливих умов по збереженню здоров'я - це прагнення запобігти втратам продук</w:t>
      </w:r>
      <w:r w:rsidR="00572120" w:rsidRPr="00ED7129">
        <w:rPr>
          <w:rFonts w:ascii="Times New Roman" w:hAnsi="Times New Roman" w:cs="Times New Roman"/>
          <w:sz w:val="28"/>
          <w:szCs w:val="28"/>
          <w:lang w:val="uk-UA"/>
        </w:rPr>
        <w:t>тивності праці через захворювання і непрацездатність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робітників і пов'язаних з цим 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прогул</w:t>
      </w:r>
      <w:r w:rsidR="00FB06AF" w:rsidRPr="00ED71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572120" w:rsidRPr="00ED7129">
        <w:rPr>
          <w:rFonts w:ascii="Times New Roman" w:hAnsi="Times New Roman" w:cs="Times New Roman"/>
          <w:sz w:val="28"/>
          <w:szCs w:val="28"/>
          <w:lang w:val="uk-UA"/>
        </w:rPr>
        <w:t>, поліпшення самопочуття</w:t>
      </w:r>
      <w:r w:rsidR="00FB06AF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72120" w:rsidRPr="00ED7129">
        <w:rPr>
          <w:rFonts w:ascii="Times New Roman" w:hAnsi="Times New Roman" w:cs="Times New Roman"/>
          <w:sz w:val="28"/>
          <w:szCs w:val="28"/>
          <w:lang w:val="uk-UA"/>
        </w:rPr>
        <w:t>морального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стан персоналу. Зокрема, компанія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Johnson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&amp;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Johnson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регулярно аналізує дані загальної оцінки стану здоров'я, щоб визначити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lastRenderedPageBreak/>
        <w:t>тенденції ризику для здоров'я серед працівників.</w:t>
      </w:r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кожен співробітник компанії </w:t>
      </w:r>
      <w:proofErr w:type="spellStart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>Johnson</w:t>
      </w:r>
      <w:proofErr w:type="spellEnd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&amp; </w:t>
      </w:r>
      <w:proofErr w:type="spellStart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>Johnson</w:t>
      </w:r>
      <w:proofErr w:type="spellEnd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має доступ до програми здоров'я</w:t>
      </w:r>
      <w:r w:rsidR="00C92116" w:rsidRPr="00ED71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які пропагують і підтримують здоровий спосіб життя, та включають пропозиції, які пов'язані з поліпшенням фізичної активності (наприклад, фітнес-центри на місці, відшкодування ви</w:t>
      </w:r>
      <w:r w:rsidR="00795B64" w:rsidRPr="00ED7129">
        <w:rPr>
          <w:rFonts w:ascii="Times New Roman" w:hAnsi="Times New Roman" w:cs="Times New Roman"/>
          <w:sz w:val="28"/>
          <w:szCs w:val="28"/>
          <w:lang w:val="uk-UA"/>
        </w:rPr>
        <w:t>трат на фізичні вправи, програма крокоміру</w:t>
      </w:r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>, сезонні фітнес-проблеми); харчування (включаючи здоровий вибір їдальні, членство в спостерігачах за вагою, а також о</w:t>
      </w:r>
      <w:r w:rsidR="00795B64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нлайн </w:t>
      </w:r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інструменти управління вагою); управління стилем життя та комп'ютеризовані програми </w:t>
      </w:r>
      <w:proofErr w:type="spellStart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>коучингу</w:t>
      </w:r>
      <w:proofErr w:type="spellEnd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та управління хронічними захворюваннями.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Середньорічні заощадження на одного працівника скла</w:t>
      </w:r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>дають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565</w:t>
      </w:r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14D3A" w:rsidRPr="00ED7129">
        <w:rPr>
          <w:rFonts w:ascii="Times New Roman" w:hAnsi="Times New Roman" w:cs="Times New Roman"/>
          <w:sz w:val="28"/>
          <w:szCs w:val="28"/>
          <w:lang w:val="uk-UA"/>
        </w:rPr>
        <w:t>дол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>, що призвело до повернення інвестицій у розмірі 1,88 $ - 3,92 долара за кожний долар, витрачений на програму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[5].</w:t>
      </w:r>
    </w:p>
    <w:p w14:paraId="6435FD87" w14:textId="77777777" w:rsidR="00914D3A" w:rsidRPr="00ED7129" w:rsidRDefault="00795B64" w:rsidP="005721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Робоче місце</w:t>
      </w:r>
      <w:r w:rsidR="00914D3A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 унікальним по своїм можливостям зміцнення здоров'я і поліпшення самопочуття робітників за умови</w:t>
      </w:r>
      <w:r w:rsidR="00051709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що</w:t>
      </w:r>
      <w:r w:rsidR="00914D3A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роботодавець приділяє велику увагу здоров'ю та добробуту працівників як частин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="00914D3A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основної місії компанії,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формування </w:t>
      </w:r>
      <w:r w:rsidR="00914D3A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середовищ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914D3A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к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е</w:t>
      </w:r>
      <w:r w:rsidR="00914D3A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сприяє довірі, відкритій комунікації та опорі на працівників, щоб формувати оздоровчі програми, узгоджені з ними особисті потреби та інтереси.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Ці впливи розгортаються через освіту, фізичне та соціальне середовище (соціальні детермінанти </w:t>
      </w:r>
      <w:bookmarkStart w:id="1" w:name="_Hlk15239502"/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здоров'я</w:t>
      </w:r>
      <w:bookmarkEnd w:id="1"/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). Проте, програми та політика, спрямовані на пом'якшення цих несприятливих умов, не завжди мали позитивні наслідки для більшості </w:t>
      </w:r>
      <w:r w:rsidR="004B1C9D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спожи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вачів цих програм. Підхід, який зосереджується на дослідженні, рефлексії та аналізі впродовж процесу надання допомоги, є найбільш корисним для визнання того, що культура є лише одним з багатьох факторів, які впливають на </w:t>
      </w:r>
      <w:r w:rsidR="006F5DB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мотивацію</w:t>
      </w:r>
      <w:r w:rsidR="00C9211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поведінку людини.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Вже мало хто сумнівається в тому, що здоровий спосіб життя і здатність успішно справлятися з психологічними і соціальними навантаженнями покращує самопочуття та функціональні можливості. Ще </w:t>
      </w:r>
      <w:r w:rsidR="00C416F9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є достатній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рівень скептицизму</w:t>
      </w:r>
      <w:r w:rsidR="00C416F9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, який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проявляється</w:t>
      </w:r>
      <w:r w:rsidR="00C416F9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щодо цінності програм, спрямованих на охорону здоров'я за місцем роботи. Це в значній мірі відображає факт відсутності репрезентативних і регулярних досліджень, </w:t>
      </w:r>
      <w:r w:rsidR="007B20D9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які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проводяться 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перманентно</w:t>
      </w:r>
      <w:r w:rsidR="007B20D9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[1]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 не повністю відображают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ь картину того, що відбувається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Крім цього, для того, щоб 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проявил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ся ді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я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більшості 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вжитих </w:t>
      </w:r>
      <w:r w:rsidR="00BC41D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профілактичних заходів, потрібен тривалий час.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Покращення здоров'я просто не зроблять істотного впливу, якщо компанія або співробітник тільки відвідують фітнес-програму один раз в тиждень.</w:t>
      </w:r>
    </w:p>
    <w:p w14:paraId="064C1BDB" w14:textId="77777777" w:rsidR="006F2C26" w:rsidRPr="00ED7129" w:rsidRDefault="00C92116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Щоб перенести </w:t>
      </w:r>
      <w:r w:rsidR="00FA6689">
        <w:rPr>
          <w:rFonts w:ascii="Times New Roman" w:eastAsia="Calibri" w:hAnsi="Times New Roman" w:cs="Times New Roman"/>
          <w:sz w:val="28"/>
          <w:szCs w:val="28"/>
          <w:lang w:val="uk-UA"/>
        </w:rPr>
        <w:t>прі</w:t>
      </w:r>
      <w:r w:rsidR="00722D57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оритет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здоров'я працівників, роботодавці повинні створити та підтримувати комплексні, науково обґрунтовані програми зміцнення здоров'я, буду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вати 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культуру здоров'я, яка є 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більш широк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им змістом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, ніж будь-яка окрема складова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(оздоровчі 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програми з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різних видів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рухової активності)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Основна мета </w:t>
      </w:r>
      <w:r w:rsidR="005C5B1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такої багатокомпонентної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програми - збереження здоров'я і поліпшення самопочуття співробітників всіх рівнів, профілактика захворювань і втрати працездатності, а також зменшення тяжкості стану як для окремих </w:t>
      </w:r>
      <w:r w:rsidR="006F2C2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працівників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так і </w:t>
      </w:r>
      <w:r w:rsidR="006F2C2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</w:t>
      </w:r>
      <w:r w:rsidR="00BD5C94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організацій </w:t>
      </w:r>
      <w:r w:rsidR="006F2C26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 цілому. </w:t>
      </w:r>
      <w:r w:rsidR="006F2C26" w:rsidRPr="00ED7129">
        <w:rPr>
          <w:rFonts w:ascii="Times New Roman" w:hAnsi="Times New Roman" w:cs="Times New Roman"/>
          <w:sz w:val="28"/>
          <w:szCs w:val="28"/>
          <w:lang w:val="uk-UA"/>
        </w:rPr>
        <w:t>Комплексний підхід включає в себе:</w:t>
      </w:r>
    </w:p>
    <w:p w14:paraId="30D5650B" w14:textId="77777777" w:rsidR="006F2C26" w:rsidRPr="00ED7129" w:rsidRDefault="006F2C26" w:rsidP="005721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обізнаності про проблеми, 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встановлення конкретних цілей програми та очікуван</w:t>
      </w:r>
      <w:r w:rsidR="00854FC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ь</w:t>
      </w: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;</w:t>
      </w:r>
    </w:p>
    <w:p w14:paraId="05923197" w14:textId="77777777" w:rsidR="006F2C26" w:rsidRPr="00ED7129" w:rsidRDefault="006F2C26" w:rsidP="005721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використання поточних стратегічних комунікацій, залучення співробітників до розробки та реалізації програм</w:t>
      </w:r>
      <w:r w:rsidR="00854FC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менеджери здоров'я);</w:t>
      </w:r>
    </w:p>
    <w:p w14:paraId="5485121F" w14:textId="77777777" w:rsidR="00BD5C94" w:rsidRPr="00ED7129" w:rsidRDefault="006F2C26" w:rsidP="005721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створення сприятливого середовища, надання можливостей для розвитку навичок</w:t>
      </w:r>
      <w:r w:rsidR="0036450E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6450E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введення програм зміни поведінки;</w:t>
      </w:r>
    </w:p>
    <w:p w14:paraId="101505CF" w14:textId="77777777" w:rsidR="006F2C26" w:rsidRPr="00ED7129" w:rsidRDefault="0036450E" w:rsidP="00572120">
      <w:pPr>
        <w:pStyle w:val="a3"/>
        <w:numPr>
          <w:ilvl w:val="0"/>
          <w:numId w:val="4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вимірювання та моніторинг досягнень програми в різних аспектах на постійній основі з метою забезпечення максимальної ефективності.</w:t>
      </w:r>
    </w:p>
    <w:p w14:paraId="118C81D0" w14:textId="77777777" w:rsidR="00E61028" w:rsidRPr="00ED7129" w:rsidRDefault="0036450E" w:rsidP="0057212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Дії, які підпадають під кожен елемент моделі, повинні </w:t>
      </w:r>
      <w:r w:rsidR="007B20D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охоплювати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процес</w:t>
      </w:r>
      <w:r w:rsidR="007B20D9" w:rsidRPr="00ED7129">
        <w:rPr>
          <w:rFonts w:ascii="Times New Roman" w:hAnsi="Times New Roman" w:cs="Times New Roman"/>
          <w:sz w:val="28"/>
          <w:szCs w:val="28"/>
          <w:lang w:val="uk-UA"/>
        </w:rPr>
        <w:t>и п</w:t>
      </w:r>
      <w:r w:rsidR="00BC6E2D" w:rsidRPr="00ED7129">
        <w:rPr>
          <w:rFonts w:ascii="Times New Roman" w:hAnsi="Times New Roman" w:cs="Times New Roman"/>
          <w:sz w:val="28"/>
          <w:szCs w:val="28"/>
          <w:lang w:val="uk-UA"/>
        </w:rPr>
        <w:t>ервинн</w:t>
      </w:r>
      <w:r w:rsidR="007B20D9" w:rsidRPr="00ED712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BC6E2D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F29F3" w:rsidRPr="00ED7129">
        <w:rPr>
          <w:rFonts w:ascii="Times New Roman" w:hAnsi="Times New Roman" w:cs="Times New Roman"/>
          <w:sz w:val="28"/>
          <w:szCs w:val="28"/>
          <w:lang w:val="uk-UA"/>
        </w:rPr>
        <w:t>скринінгу</w:t>
      </w:r>
      <w:r w:rsidR="007B20D9" w:rsidRPr="00ED712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BC6E2D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планування комбінаці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BC6E2D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індивідуальних та організаційних стратегій та заходів для впливу на здоров'я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опис 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інструментарію та ресурсів програми;</w:t>
      </w:r>
      <w:bookmarkStart w:id="2" w:name="_Hlk15239801"/>
      <w:r w:rsidR="003F29F3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вимірювання та моніторинг досягнень програми в різних аспектах на постійній основі з метою забезпечення </w:t>
      </w:r>
      <w:bookmarkEnd w:id="2"/>
      <w:r w:rsidR="00CA7B2B" w:rsidRPr="00ED7129">
        <w:rPr>
          <w:rFonts w:ascii="Times New Roman" w:eastAsia="Calibri" w:hAnsi="Times New Roman" w:cs="Times New Roman"/>
          <w:sz w:val="28"/>
          <w:szCs w:val="28"/>
          <w:lang w:val="uk-UA"/>
        </w:rPr>
        <w:t>вчасного корегування;</w:t>
      </w:r>
      <w:r w:rsidR="004A221F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4FC3" w:rsidRPr="00ED7129">
        <w:rPr>
          <w:rFonts w:ascii="Times New Roman" w:hAnsi="Times New Roman" w:cs="Times New Roman"/>
          <w:sz w:val="28"/>
          <w:szCs w:val="28"/>
          <w:lang w:val="uk-UA"/>
        </w:rPr>
        <w:t>архівація даних та результатів зусиль з наданням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загальн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та специфічн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их 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>рекомендаці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4A221F" w:rsidRPr="00ED7129">
        <w:rPr>
          <w:rFonts w:ascii="Times New Roman" w:hAnsi="Times New Roman" w:cs="Times New Roman"/>
          <w:sz w:val="28"/>
          <w:szCs w:val="28"/>
          <w:lang w:val="uk-UA"/>
        </w:rPr>
        <w:t>; оцінка ефективності вкладених ресурсів</w:t>
      </w:r>
      <w:r w:rsidR="00854FC3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>Ці дані можуть бути використані для отримання більш глибокого розуміння культури здоров'я компанії та допомогти визначити план дій для покращення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ефективності.</w:t>
      </w:r>
    </w:p>
    <w:p w14:paraId="565CB119" w14:textId="77777777" w:rsidR="00BC6E2D" w:rsidRPr="00ED7129" w:rsidRDefault="003A7933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lastRenderedPageBreak/>
        <w:t>Однак в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ажливо відзначити, що культурна компетентність є процесом, а не кінцевою метою, і часто розвивається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поступово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спираючись на попередні </w:t>
      </w:r>
      <w:r w:rsidR="00ED7129" w:rsidRPr="00ED7129">
        <w:rPr>
          <w:rFonts w:ascii="Times New Roman" w:hAnsi="Times New Roman" w:cs="Times New Roman"/>
          <w:sz w:val="28"/>
          <w:szCs w:val="28"/>
          <w:lang w:val="uk-UA"/>
        </w:rPr>
        <w:t>знання та досвід,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і н</w:t>
      </w:r>
      <w:r w:rsidR="00ED7129" w:rsidRPr="00ED7129">
        <w:rPr>
          <w:rFonts w:ascii="Times New Roman" w:hAnsi="Times New Roman" w:cs="Times New Roman"/>
          <w:sz w:val="28"/>
          <w:szCs w:val="28"/>
          <w:lang w:val="uk-UA"/>
        </w:rPr>
        <w:t>е відображатиме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швидкого</w:t>
      </w:r>
      <w:r w:rsidR="00E6102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ефекту від впровадження програми зміцнення здоров'я</w:t>
      </w:r>
    </w:p>
    <w:p w14:paraId="3D02F030" w14:textId="77777777" w:rsidR="00722D57" w:rsidRPr="00ED7129" w:rsidRDefault="00C92116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Програми охорони здоров'я на робочому місці можуть призвести до змін як на індивідуальному, так і на рівні організації. Для фізичних осіб програми охорони здоров'я на робочому місці мають потенціал впливу на 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F759CC" w:rsidRPr="00ED712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вень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здоров'я працівника, 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поведінку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A7933" w:rsidRPr="00ED7129">
        <w:rPr>
          <w:rFonts w:ascii="Times New Roman" w:hAnsi="Times New Roman" w:cs="Times New Roman"/>
          <w:lang w:val="uk-UA"/>
        </w:rPr>
        <w:t xml:space="preserve"> 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нівелювання ризиків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для здоров'я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хвороб;</w:t>
      </w:r>
      <w:r w:rsidR="00ED712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і поточн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стан</w:t>
      </w:r>
      <w:r w:rsidR="003A7933" w:rsidRPr="00ED712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здоров'я. Для організацій програми охорони здоров'я на робочому місці мають потенціал впливу на такі сфери, як витрати на охорону здоров'я, прогули, продуктивність, набір / утримання, культуру та моральний стан працівників.</w:t>
      </w:r>
    </w:p>
    <w:p w14:paraId="34C52EB1" w14:textId="77777777" w:rsidR="00C92116" w:rsidRPr="00ED7129" w:rsidRDefault="00BC41D4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Хоча і </w:t>
      </w:r>
      <w:r w:rsidR="00ED7129" w:rsidRPr="00ED7129">
        <w:rPr>
          <w:rFonts w:ascii="Times New Roman" w:hAnsi="Times New Roman" w:cs="Times New Roman"/>
          <w:sz w:val="28"/>
          <w:szCs w:val="28"/>
          <w:lang w:val="uk-UA"/>
        </w:rPr>
        <w:t>вигідно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мати підтвердження ефективності та цінності програм формування сприятливих умов охорони здоров'я за місцем роботи, проте такого роду докази рідко виявлялися необхідними для прийняття рішення</w:t>
      </w:r>
      <w:r w:rsidR="00C50D5C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керівництвом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про </w:t>
      </w:r>
      <w:r w:rsidR="00ED7129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подібних програм. </w:t>
      </w:r>
      <w:r w:rsidR="00ED7129">
        <w:rPr>
          <w:rFonts w:ascii="Times New Roman" w:hAnsi="Times New Roman" w:cs="Times New Roman"/>
          <w:sz w:val="28"/>
          <w:szCs w:val="28"/>
          <w:lang w:val="uk-UA"/>
        </w:rPr>
        <w:t>Більшість з них базували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ся на переконанні, що запобіжні заходи принесут</w:t>
      </w:r>
      <w:r w:rsidR="00ED7129">
        <w:rPr>
          <w:rFonts w:ascii="Times New Roman" w:hAnsi="Times New Roman" w:cs="Times New Roman"/>
          <w:sz w:val="28"/>
          <w:szCs w:val="28"/>
          <w:lang w:val="uk-UA"/>
        </w:rPr>
        <w:t xml:space="preserve">ь результат </w:t>
      </w:r>
      <w:r w:rsidR="00902DA3" w:rsidRPr="00ED7129">
        <w:rPr>
          <w:rFonts w:ascii="Times New Roman" w:hAnsi="Times New Roman" w:cs="Times New Roman"/>
          <w:sz w:val="28"/>
          <w:szCs w:val="28"/>
          <w:lang w:val="uk-UA"/>
        </w:rPr>
        <w:t>[3]</w:t>
      </w:r>
      <w:r w:rsid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У деяких випадках прийняття подібних програм стимулювалося</w:t>
      </w:r>
      <w:r w:rsidR="00902DA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7129">
        <w:rPr>
          <w:rFonts w:ascii="Times New Roman" w:hAnsi="Times New Roman" w:cs="Times New Roman"/>
          <w:sz w:val="28"/>
          <w:szCs w:val="28"/>
          <w:lang w:val="uk-UA"/>
        </w:rPr>
        <w:t>проявом зацікавле</w:t>
      </w:r>
      <w:r w:rsidR="00902DA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ності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з боку</w:t>
      </w:r>
      <w:r w:rsidR="00902DA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співробітників,</w:t>
      </w:r>
    </w:p>
    <w:p w14:paraId="0B9CFA32" w14:textId="77777777" w:rsidR="00226095" w:rsidRPr="00ED7129" w:rsidRDefault="007B5129" w:rsidP="00EC191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Високий рівень психофізичних якостей працівника в умовах ринкової економіки забезпечує його конкурентоспроможність, придатність до професійного довголіття, достаток сім’ї, забезпечену старість. Саме тому розробка та впровадження більш здорового способу жит</w:t>
      </w:r>
      <w:r w:rsidR="00EC191B">
        <w:rPr>
          <w:rFonts w:ascii="Times New Roman" w:hAnsi="Times New Roman" w:cs="Times New Roman"/>
          <w:sz w:val="28"/>
          <w:szCs w:val="28"/>
          <w:lang w:val="uk-UA"/>
        </w:rPr>
        <w:t xml:space="preserve">тя є ключовою. </w:t>
      </w:r>
      <w:r w:rsidR="00FD52B1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Завдяки впровадженню програм, що пропонують конкретні </w:t>
      </w:r>
      <w:r w:rsidR="003F29F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стратегії, </w:t>
      </w:r>
      <w:r w:rsidR="00FD52B1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дії </w:t>
      </w:r>
      <w:r w:rsidR="003F29F3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та інструментарії </w:t>
      </w:r>
      <w:r w:rsidR="00FD52B1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для співробітників, компанії змогли успішно управляти станом здоров'я своїх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працюючих.</w:t>
      </w:r>
    </w:p>
    <w:p w14:paraId="203704FE" w14:textId="77777777" w:rsidR="00510499" w:rsidRPr="00ED7129" w:rsidRDefault="00B875D4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Кожна організація - державна, приватна або некомерційна</w:t>
      </w:r>
      <w:r w:rsidR="00C50D5C" w:rsidRPr="00ED7129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проваджуючи </w:t>
      </w:r>
      <w:r w:rsidR="00BC6E2D" w:rsidRPr="00ED71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ультуру здоров'я, не тільки беруть на себе відповідальність за свій вплив, але й мають можливість позитивно впливати на </w:t>
      </w:r>
      <w:r w:rsidR="00CA7B2B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цілого прошарку лідерського потенціалу працюючих в ролі </w:t>
      </w:r>
      <w:bookmarkStart w:id="3" w:name="_Hlk15305450"/>
      <w:r w:rsidR="00CA7B2B" w:rsidRPr="00ED7129">
        <w:rPr>
          <w:rFonts w:ascii="Times New Roman" w:hAnsi="Times New Roman" w:cs="Times New Roman"/>
          <w:sz w:val="28"/>
          <w:szCs w:val="28"/>
          <w:lang w:val="uk-UA"/>
        </w:rPr>
        <w:t>менеджерів здоров'я</w:t>
      </w:r>
      <w:bookmarkEnd w:id="3"/>
      <w:r w:rsidR="00CA7B2B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50D5C" w:rsidRPr="00ED7129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A7B2B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е люди, які </w:t>
      </w:r>
      <w:r w:rsidR="00CA7B2B" w:rsidRPr="00ED7129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впливають на ставлення та поведінку інших. </w:t>
      </w:r>
      <w:r w:rsidR="00FE6374" w:rsidRPr="00ED7129">
        <w:rPr>
          <w:rFonts w:ascii="Times New Roman" w:hAnsi="Times New Roman" w:cs="Times New Roman"/>
          <w:sz w:val="28"/>
          <w:szCs w:val="28"/>
          <w:lang w:val="uk-UA"/>
        </w:rPr>
        <w:t>Останніми роками підготовка корпоративних менеджерів здоров'я стала «новим стандартом» у багатьох компаніях [4]</w:t>
      </w:r>
      <w:r w:rsidR="00EC191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049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Вони просувають позитивну культуру, демонструючи принципи успіху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при</w:t>
      </w:r>
      <w:r w:rsidR="0051049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підтримці</w:t>
      </w:r>
      <w:r w:rsidR="0051049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керівництв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1049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розви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510499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свої практики по безпеці та створенню культури здоров'я на робочих місцях. Вони 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використовують свій вплив для залучення всієї робочої сили </w:t>
      </w:r>
      <w:r w:rsidR="00C50D5C" w:rsidRPr="00ED7129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до оптимізації сво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ї щоденн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>и (впровадження активних та пасивних стратегій зменшення стресу; інноваційни</w:t>
      </w:r>
      <w:r w:rsidR="00EC191B">
        <w:rPr>
          <w:rFonts w:ascii="Times New Roman" w:hAnsi="Times New Roman" w:cs="Times New Roman"/>
          <w:sz w:val="28"/>
          <w:szCs w:val="28"/>
          <w:lang w:val="uk-UA"/>
        </w:rPr>
        <w:t>х та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найсучасніших технологій відновлення організму; ефективних програм змін поведінки); і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нтеграці</w:t>
      </w:r>
      <w:r w:rsidR="00EC191B">
        <w:rPr>
          <w:rFonts w:ascii="Times New Roman" w:hAnsi="Times New Roman" w:cs="Times New Roman"/>
          <w:sz w:val="28"/>
          <w:szCs w:val="28"/>
          <w:lang w:val="uk-UA"/>
        </w:rPr>
        <w:t>ї цієї роботи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в усіх відділах</w:t>
      </w:r>
      <w:r w:rsidR="00EC191B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на всіх рівнях організації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системний підхід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та к</w:t>
      </w:r>
      <w:r w:rsidR="00BF7308" w:rsidRPr="00ED7129">
        <w:rPr>
          <w:rFonts w:ascii="Times New Roman" w:hAnsi="Times New Roman" w:cs="Times New Roman"/>
          <w:sz w:val="28"/>
          <w:szCs w:val="28"/>
          <w:lang w:val="uk-UA"/>
        </w:rPr>
        <w:t>омплексність</w:t>
      </w:r>
      <w:r w:rsidR="00AB3D3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9C739EB" w14:textId="77777777" w:rsidR="00B22E79" w:rsidRPr="00ED7129" w:rsidRDefault="00B22E79" w:rsidP="0057212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Подальші дослідження повинні вивчити важливість різних структурних і програмних змінних у організації, таких як зміни політики та культура компанії, які впливають на стан </w:t>
      </w:r>
      <w:bookmarkStart w:id="4" w:name="_Hlk15304552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здоров'я </w:t>
      </w:r>
      <w:bookmarkEnd w:id="4"/>
      <w:r w:rsidRPr="00ED7129">
        <w:rPr>
          <w:rFonts w:ascii="Times New Roman" w:hAnsi="Times New Roman" w:cs="Times New Roman"/>
          <w:sz w:val="28"/>
          <w:szCs w:val="28"/>
          <w:lang w:val="uk-UA"/>
        </w:rPr>
        <w:t>та фінансові результати.</w:t>
      </w:r>
    </w:p>
    <w:p w14:paraId="6B05EEAB" w14:textId="77777777" w:rsidR="00115A82" w:rsidRPr="00ED7129" w:rsidRDefault="00115A82" w:rsidP="00115A8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5DA21187" w14:textId="77777777" w:rsidR="00B030ED" w:rsidRPr="00ED7129" w:rsidRDefault="00B030ED" w:rsidP="00115A82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</w:t>
      </w:r>
      <w:r w:rsidR="00BF7308" w:rsidRPr="00ED7129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14:paraId="2D87482D" w14:textId="77777777" w:rsidR="006C4A18" w:rsidRPr="00ED7129" w:rsidRDefault="006C4A18" w:rsidP="00115A8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Бурлакова І. А. Соціально-психологічні особливості формування культури професійного здоров’я майбутніх  фахівців економічного напряму / І. А. Бурлакова // Теоретичні і прикладні проблеми психології : зб. наук. праць Східноукраїнського національного університету імені Володимира Даля. – Сєвєродонецьк : Вид-во СНУ ім. В. Даля, 2017. – № 3 (44). – С. 40 – 49.</w:t>
      </w:r>
    </w:p>
    <w:p w14:paraId="39E8C1E9" w14:textId="77777777" w:rsidR="00D3796A" w:rsidRPr="00ED7129" w:rsidRDefault="00D3796A" w:rsidP="00115A8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Стан професійної захворюваності в період законодавчих змін в Україні</w:t>
      </w:r>
      <w:r w:rsidR="00115A82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Нагорна, М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Соколова, П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Вітте, І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Кононова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- Український журнал з проблем медицини праці, 2016</w:t>
      </w:r>
      <w:r w:rsidR="00115A82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r w:rsidR="00DF3471" w:rsidRPr="00ED7129">
        <w:rPr>
          <w:rFonts w:ascii="Times New Roman" w:hAnsi="Times New Roman" w:cs="Times New Roman"/>
          <w:sz w:val="28"/>
          <w:szCs w:val="28"/>
          <w:lang w:val="uk-UA"/>
        </w:rPr>
        <w:t>С.3-17</w:t>
      </w:r>
    </w:p>
    <w:p w14:paraId="3163E023" w14:textId="77777777" w:rsidR="00B22E79" w:rsidRPr="00ED7129" w:rsidRDefault="00B22E79" w:rsidP="00115A8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Baicker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K,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Cutler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D, Z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songs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Wellness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programs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workplace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can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save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you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money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Health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Aff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Millwood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>). 2010; 29 (2):</w:t>
      </w:r>
      <w:r w:rsidR="00B37118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P. 11-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304.</w:t>
      </w:r>
    </w:p>
    <w:p w14:paraId="5F9A660C" w14:textId="77777777" w:rsidR="00E61028" w:rsidRPr="00ED7129" w:rsidRDefault="00E61028" w:rsidP="00115A8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Burlakova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I.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Health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management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staff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a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fundamentally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new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approach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formation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organizational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culture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enterprise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/ I.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Burlakova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, G.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Chmeruk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O.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Storozhenko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Trends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in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development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national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world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science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Collection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scientific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articles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Vol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17. –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Verlag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SWG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imex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GmbH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Nürnberg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Deutschland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2016. – </w:t>
      </w:r>
      <w:bookmarkStart w:id="5" w:name="_Hlk15241771"/>
      <w:r w:rsidRPr="00ED7129">
        <w:rPr>
          <w:rFonts w:ascii="Times New Roman" w:hAnsi="Times New Roman" w:cs="Times New Roman"/>
          <w:sz w:val="28"/>
          <w:szCs w:val="28"/>
          <w:lang w:val="uk-UA"/>
        </w:rPr>
        <w:t>P.</w:t>
      </w:r>
      <w:bookmarkEnd w:id="5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242 – 244.</w:t>
      </w:r>
    </w:p>
    <w:p w14:paraId="4149B134" w14:textId="77777777" w:rsidR="00B37118" w:rsidRPr="00ED7129" w:rsidRDefault="00B37118" w:rsidP="00115A82">
      <w:pPr>
        <w:pStyle w:val="a3"/>
        <w:numPr>
          <w:ilvl w:val="0"/>
          <w:numId w:val="1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lastRenderedPageBreak/>
        <w:t>Ozminkowski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RJ,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Ling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D,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Goetzel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RZ,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Bruno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JA,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Rutter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KR,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Isaac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F,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et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al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The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long-term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impact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of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Johnson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&amp;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Johnson's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health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wellness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program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on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use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and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healthcare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costs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. J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Take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Environment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7129">
        <w:rPr>
          <w:rFonts w:ascii="Times New Roman" w:hAnsi="Times New Roman" w:cs="Times New Roman"/>
          <w:sz w:val="28"/>
          <w:szCs w:val="28"/>
          <w:lang w:val="uk-UA"/>
        </w:rPr>
        <w:t>Med</w:t>
      </w:r>
      <w:proofErr w:type="spellEnd"/>
      <w:r w:rsidRPr="00ED7129">
        <w:rPr>
          <w:rFonts w:ascii="Times New Roman" w:hAnsi="Times New Roman" w:cs="Times New Roman"/>
          <w:sz w:val="28"/>
          <w:szCs w:val="28"/>
          <w:lang w:val="uk-UA"/>
        </w:rPr>
        <w:t>. 2002; 44 (1): P. 9 - 21.</w:t>
      </w:r>
    </w:p>
    <w:p w14:paraId="431FDF5F" w14:textId="77777777" w:rsidR="00115A82" w:rsidRPr="00ED7129" w:rsidRDefault="00115A82" w:rsidP="00115A82">
      <w:pPr>
        <w:pStyle w:val="a3"/>
        <w:spacing w:after="0" w:line="360" w:lineRule="auto"/>
        <w:ind w:left="0" w:firstLine="56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38C9244B" w14:textId="77777777" w:rsidR="00CF7BA8" w:rsidRPr="00ED7129" w:rsidRDefault="00CF7BA8" w:rsidP="00115A82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b/>
          <w:sz w:val="28"/>
          <w:szCs w:val="28"/>
          <w:lang w:val="uk-UA"/>
        </w:rPr>
        <w:t>Бурлакова Ірина Анатоліївна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067 940 34 81, </w:t>
      </w:r>
      <w:hyperlink r:id="rId5" w:history="1">
        <w:r w:rsidR="00133391" w:rsidRPr="00ED712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uk-UA"/>
          </w:rPr>
          <w:t>burlakova22irina@gmail.com</w:t>
        </w:r>
      </w:hyperlink>
      <w:r w:rsidRPr="00ED712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133391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>Східноукраїнський національний  університет ім. В. Даля МОН України,</w:t>
      </w:r>
    </w:p>
    <w:p w14:paraId="1782107D" w14:textId="77777777" w:rsidR="00133391" w:rsidRPr="00ED7129" w:rsidRDefault="00CF7BA8" w:rsidP="00115A82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bookmarkStart w:id="6" w:name="_Hlk15310739"/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м. Сєвєродонецьк, </w:t>
      </w:r>
      <w:bookmarkStart w:id="7" w:name="_Hlk15311207"/>
      <w:r w:rsidR="00133391" w:rsidRPr="00ED7129">
        <w:rPr>
          <w:rFonts w:ascii="Times New Roman" w:hAnsi="Times New Roman" w:cs="Times New Roman"/>
          <w:sz w:val="28"/>
          <w:szCs w:val="28"/>
          <w:lang w:val="uk-UA"/>
        </w:rPr>
        <w:t>Україна,</w:t>
      </w:r>
      <w:bookmarkEnd w:id="7"/>
      <w:r w:rsidR="00133391"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 професор кафедри практичної психології та соціальної роботи, доцент, доктор </w:t>
      </w:r>
      <w:bookmarkStart w:id="8" w:name="_Hlk15311233"/>
      <w:r w:rsidR="00133391" w:rsidRPr="00ED7129">
        <w:rPr>
          <w:rFonts w:ascii="Times New Roman" w:hAnsi="Times New Roman" w:cs="Times New Roman"/>
          <w:sz w:val="28"/>
          <w:szCs w:val="28"/>
          <w:lang w:val="uk-UA"/>
        </w:rPr>
        <w:t>психологічних наук</w:t>
      </w:r>
      <w:bookmarkEnd w:id="8"/>
      <w:r w:rsidR="00133391" w:rsidRPr="00ED712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3BF4A92" w14:textId="77777777" w:rsidR="00133391" w:rsidRPr="00ED7129" w:rsidRDefault="00133391" w:rsidP="00115A82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7129">
        <w:rPr>
          <w:rFonts w:ascii="Times New Roman" w:hAnsi="Times New Roman" w:cs="Times New Roman"/>
          <w:b/>
          <w:sz w:val="28"/>
          <w:szCs w:val="28"/>
          <w:lang w:val="uk-UA"/>
        </w:rPr>
        <w:t>Кондес</w:t>
      </w:r>
      <w:proofErr w:type="spellEnd"/>
      <w:r w:rsidRPr="00ED712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Тетяна Василівна</w:t>
      </w:r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, 063 755 33 11, </w:t>
      </w:r>
      <w:hyperlink r:id="rId6" w:history="1">
        <w:r w:rsidRPr="00ED7129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uk-UA"/>
          </w:rPr>
          <w:t>tatiana.kondes@gmail.com</w:t>
        </w:r>
      </w:hyperlink>
      <w:r w:rsidRPr="00ED7129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</w:p>
    <w:p w14:paraId="0C9CC7F7" w14:textId="77777777" w:rsidR="00A14808" w:rsidRPr="00ED7129" w:rsidRDefault="00133391" w:rsidP="00115A82">
      <w:pPr>
        <w:pStyle w:val="a3"/>
        <w:spacing w:after="0" w:line="360" w:lineRule="auto"/>
        <w:ind w:left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D7129">
        <w:rPr>
          <w:rFonts w:ascii="Times New Roman" w:hAnsi="Times New Roman" w:cs="Times New Roman"/>
          <w:sz w:val="28"/>
          <w:szCs w:val="28"/>
          <w:lang w:val="uk-UA"/>
        </w:rPr>
        <w:t>Університет економіки та права «КРОК»</w:t>
      </w:r>
      <w:r w:rsidR="00AF656B" w:rsidRPr="00ED7129">
        <w:rPr>
          <w:rFonts w:ascii="Times New Roman" w:hAnsi="Times New Roman" w:cs="Times New Roman"/>
          <w:sz w:val="28"/>
          <w:szCs w:val="28"/>
          <w:lang w:val="uk-UA"/>
        </w:rPr>
        <w:t>, м. Київ, Україна, доцент кафедри іноземних мов та загальноосвітніх дисциплін, кандидат психологічних наук.</w:t>
      </w:r>
      <w:bookmarkEnd w:id="6"/>
    </w:p>
    <w:sectPr w:rsidR="00A14808" w:rsidRPr="00ED7129" w:rsidSect="00115A82"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04FD0"/>
    <w:multiLevelType w:val="hybridMultilevel"/>
    <w:tmpl w:val="AC9C788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C338A9"/>
    <w:multiLevelType w:val="multilevel"/>
    <w:tmpl w:val="F9F6F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2939A1"/>
    <w:multiLevelType w:val="multilevel"/>
    <w:tmpl w:val="1D081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F009C7"/>
    <w:multiLevelType w:val="hybridMultilevel"/>
    <w:tmpl w:val="8454F774"/>
    <w:lvl w:ilvl="0" w:tplc="5A4225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B9B"/>
    <w:rsid w:val="00051709"/>
    <w:rsid w:val="0009287E"/>
    <w:rsid w:val="000D6E82"/>
    <w:rsid w:val="00115A82"/>
    <w:rsid w:val="00133391"/>
    <w:rsid w:val="001A1B79"/>
    <w:rsid w:val="001A3624"/>
    <w:rsid w:val="00226095"/>
    <w:rsid w:val="0036450E"/>
    <w:rsid w:val="00382B9B"/>
    <w:rsid w:val="003A7933"/>
    <w:rsid w:val="003F29F3"/>
    <w:rsid w:val="00464A53"/>
    <w:rsid w:val="004A221F"/>
    <w:rsid w:val="004B1C9D"/>
    <w:rsid w:val="00510499"/>
    <w:rsid w:val="005635C4"/>
    <w:rsid w:val="00572120"/>
    <w:rsid w:val="00585007"/>
    <w:rsid w:val="005C5B13"/>
    <w:rsid w:val="005D7302"/>
    <w:rsid w:val="00681044"/>
    <w:rsid w:val="006961F1"/>
    <w:rsid w:val="006C4A18"/>
    <w:rsid w:val="006F2C26"/>
    <w:rsid w:val="006F5DB6"/>
    <w:rsid w:val="00716A40"/>
    <w:rsid w:val="00722D57"/>
    <w:rsid w:val="00750E3D"/>
    <w:rsid w:val="00795B64"/>
    <w:rsid w:val="007B20D9"/>
    <w:rsid w:val="007B5129"/>
    <w:rsid w:val="007E655D"/>
    <w:rsid w:val="00821997"/>
    <w:rsid w:val="00854FC3"/>
    <w:rsid w:val="008F3BD3"/>
    <w:rsid w:val="00902DA3"/>
    <w:rsid w:val="00914D3A"/>
    <w:rsid w:val="00953E08"/>
    <w:rsid w:val="00972FCC"/>
    <w:rsid w:val="00A14808"/>
    <w:rsid w:val="00A34737"/>
    <w:rsid w:val="00A35EFF"/>
    <w:rsid w:val="00A834F6"/>
    <w:rsid w:val="00AB3D38"/>
    <w:rsid w:val="00AE06A9"/>
    <w:rsid w:val="00AF656B"/>
    <w:rsid w:val="00B030ED"/>
    <w:rsid w:val="00B22E79"/>
    <w:rsid w:val="00B37118"/>
    <w:rsid w:val="00B875D4"/>
    <w:rsid w:val="00BC3543"/>
    <w:rsid w:val="00BC41D4"/>
    <w:rsid w:val="00BC6E2D"/>
    <w:rsid w:val="00BD5C94"/>
    <w:rsid w:val="00BF7308"/>
    <w:rsid w:val="00C416F9"/>
    <w:rsid w:val="00C50D5C"/>
    <w:rsid w:val="00C92116"/>
    <w:rsid w:val="00CA7B2B"/>
    <w:rsid w:val="00CD1F9C"/>
    <w:rsid w:val="00CF7BA8"/>
    <w:rsid w:val="00D3796A"/>
    <w:rsid w:val="00D84B75"/>
    <w:rsid w:val="00DD7A9E"/>
    <w:rsid w:val="00DF3471"/>
    <w:rsid w:val="00DF642A"/>
    <w:rsid w:val="00E276AF"/>
    <w:rsid w:val="00E4341D"/>
    <w:rsid w:val="00E470DD"/>
    <w:rsid w:val="00E61028"/>
    <w:rsid w:val="00EC191B"/>
    <w:rsid w:val="00ED7129"/>
    <w:rsid w:val="00F759CC"/>
    <w:rsid w:val="00FA6689"/>
    <w:rsid w:val="00FB06AF"/>
    <w:rsid w:val="00FD148E"/>
    <w:rsid w:val="00FD52B1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A6D67"/>
  <w15:docId w15:val="{A737403B-2142-43F9-86FB-19E24AA0E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B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0E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333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33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atiana.kondes@gmail.com" TargetMode="External"/><Relationship Id="rId5" Type="http://schemas.openxmlformats.org/officeDocument/2006/relationships/hyperlink" Target="mailto:burlakova22irin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1855</Words>
  <Characters>10575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Бурлакова</dc:creator>
  <cp:keywords/>
  <dc:description/>
  <cp:lastModifiedBy>Ирина Бурлакова</cp:lastModifiedBy>
  <cp:revision>2</cp:revision>
  <dcterms:created xsi:type="dcterms:W3CDTF">2019-07-29T19:46:00Z</dcterms:created>
  <dcterms:modified xsi:type="dcterms:W3CDTF">2019-07-29T19:46:00Z</dcterms:modified>
</cp:coreProperties>
</file>