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F6B" w:rsidRPr="00116107" w:rsidRDefault="00AB2F6B" w:rsidP="001A5298">
      <w:pPr>
        <w:tabs>
          <w:tab w:val="left" w:pos="8931"/>
        </w:tabs>
        <w:spacing w:after="0" w:line="360" w:lineRule="auto"/>
        <w:ind w:firstLine="709"/>
        <w:jc w:val="right"/>
        <w:rPr>
          <w:rFonts w:ascii="Times New Roman" w:hAnsi="Times New Roman"/>
          <w:b/>
          <w:sz w:val="28"/>
          <w:szCs w:val="28"/>
          <w:lang w:val="ru-RU"/>
        </w:rPr>
      </w:pPr>
      <w:r w:rsidRPr="00116107">
        <w:rPr>
          <w:rFonts w:ascii="Times New Roman" w:hAnsi="Times New Roman"/>
          <w:b/>
          <w:sz w:val="28"/>
          <w:szCs w:val="28"/>
          <w:lang w:val="ru-RU"/>
        </w:rPr>
        <w:t>Перунова О.М.</w:t>
      </w:r>
      <w:r w:rsidRPr="00116107">
        <w:rPr>
          <w:rFonts w:ascii="Times New Roman" w:hAnsi="Times New Roman"/>
          <w:b/>
          <w:sz w:val="28"/>
          <w:szCs w:val="28"/>
        </w:rPr>
        <w:t>,</w:t>
      </w:r>
      <w:r>
        <w:rPr>
          <w:rFonts w:ascii="Times New Roman" w:hAnsi="Times New Roman"/>
          <w:b/>
          <w:sz w:val="28"/>
          <w:szCs w:val="28"/>
        </w:rPr>
        <w:t xml:space="preserve"> </w:t>
      </w:r>
      <w:r w:rsidRPr="00116107">
        <w:rPr>
          <w:rFonts w:ascii="Times New Roman" w:hAnsi="Times New Roman"/>
          <w:b/>
          <w:sz w:val="28"/>
          <w:szCs w:val="28"/>
          <w:lang w:val="ru-RU"/>
        </w:rPr>
        <w:t>Руденко В.О.</w:t>
      </w:r>
    </w:p>
    <w:p w:rsidR="00AB2F6B" w:rsidRPr="00116107" w:rsidRDefault="00AB2F6B" w:rsidP="001A5298">
      <w:pPr>
        <w:tabs>
          <w:tab w:val="left" w:pos="8931"/>
        </w:tabs>
        <w:spacing w:after="0" w:line="360" w:lineRule="auto"/>
        <w:ind w:firstLine="709"/>
        <w:jc w:val="right"/>
        <w:rPr>
          <w:rFonts w:ascii="Times New Roman" w:hAnsi="Times New Roman"/>
          <w:b/>
          <w:sz w:val="28"/>
          <w:szCs w:val="28"/>
        </w:rPr>
      </w:pPr>
      <w:r w:rsidRPr="00116107">
        <w:rPr>
          <w:rFonts w:ascii="Times New Roman" w:hAnsi="Times New Roman"/>
          <w:b/>
          <w:sz w:val="28"/>
          <w:szCs w:val="28"/>
        </w:rPr>
        <w:t>( Харків, Україна)</w:t>
      </w:r>
    </w:p>
    <w:p w:rsidR="00AB2F6B" w:rsidRDefault="00AB2F6B" w:rsidP="001A5298">
      <w:pPr>
        <w:pStyle w:val="ListParagraph"/>
        <w:tabs>
          <w:tab w:val="left" w:pos="8931"/>
        </w:tabs>
        <w:spacing w:after="0" w:line="360" w:lineRule="auto"/>
        <w:ind w:left="0" w:firstLine="709"/>
        <w:jc w:val="center"/>
        <w:rPr>
          <w:rFonts w:ascii="Times New Roman" w:hAnsi="Times New Roman"/>
          <w:b/>
          <w:sz w:val="28"/>
          <w:szCs w:val="28"/>
        </w:rPr>
      </w:pPr>
    </w:p>
    <w:p w:rsidR="00AB2F6B" w:rsidRDefault="00AB2F6B" w:rsidP="001A5298">
      <w:pPr>
        <w:pStyle w:val="ListParagraph"/>
        <w:tabs>
          <w:tab w:val="left" w:pos="8931"/>
        </w:tabs>
        <w:spacing w:after="0" w:line="360" w:lineRule="auto"/>
        <w:ind w:left="0" w:firstLine="709"/>
        <w:jc w:val="center"/>
        <w:rPr>
          <w:rFonts w:ascii="Times New Roman" w:hAnsi="Times New Roman"/>
          <w:b/>
          <w:sz w:val="28"/>
          <w:szCs w:val="28"/>
        </w:rPr>
      </w:pPr>
      <w:r>
        <w:rPr>
          <w:rFonts w:ascii="Times New Roman" w:hAnsi="Times New Roman"/>
          <w:b/>
          <w:sz w:val="28"/>
          <w:szCs w:val="28"/>
        </w:rPr>
        <w:t>ЗНАЧЕННЯ ЗЕМЕЛЬ РЕКРЕАЦІЙНОГО ТА ІСТОРИКО-КУЛЬТУРНОГО ПРИЗНАЧЕННЯ</w:t>
      </w:r>
    </w:p>
    <w:p w:rsidR="00AB2F6B" w:rsidRPr="00A75573" w:rsidRDefault="00AB2F6B" w:rsidP="001A5298">
      <w:pPr>
        <w:pStyle w:val="ListParagraph"/>
        <w:tabs>
          <w:tab w:val="left" w:pos="8931"/>
        </w:tabs>
        <w:spacing w:after="0" w:line="360" w:lineRule="auto"/>
        <w:ind w:left="0" w:firstLine="709"/>
        <w:jc w:val="center"/>
        <w:rPr>
          <w:rFonts w:ascii="Times New Roman" w:hAnsi="Times New Roman"/>
          <w:b/>
          <w:sz w:val="28"/>
          <w:szCs w:val="28"/>
        </w:rPr>
      </w:pP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До земель рекреаційного призначення належать землі, </w:t>
      </w:r>
      <w:r>
        <w:rPr>
          <w:rFonts w:ascii="Times New Roman" w:hAnsi="Times New Roman"/>
          <w:sz w:val="28"/>
          <w:szCs w:val="28"/>
        </w:rPr>
        <w:t>які використовуються для організації відпочинку населення, туризму та проведення спортивних заходів (ст. 50 Земельного кодексу України).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Склад земель рекреаційного призначення </w:t>
      </w:r>
      <w:r>
        <w:rPr>
          <w:rFonts w:ascii="Times New Roman" w:hAnsi="Times New Roman"/>
          <w:sz w:val="28"/>
          <w:szCs w:val="28"/>
        </w:rPr>
        <w:t>(ст. 51 Земельного кодексу України). До земель рекреаційного призначення належать земельні ділянки зелених зон і зелених насаджень міст та інших населених пунктів, навчально – туристських та екологічних стежок. Маркованих трас, земельні ділянки, зайняті територіями будинків відпочинку, пансіонів, об’єктів фізичної культури і спорту, туристичних баз, кемпінгів, яхт – клубів, стаціонарних і наметових туристично – 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Використання земель рекреаційного призначення </w:t>
      </w:r>
      <w:r>
        <w:rPr>
          <w:rFonts w:ascii="Times New Roman" w:hAnsi="Times New Roman"/>
          <w:sz w:val="28"/>
          <w:szCs w:val="28"/>
        </w:rPr>
        <w:t xml:space="preserve">(ст. 52 Земельного кодексу України). Землі рекреаційного призначення можуть перебувати у </w:t>
      </w:r>
      <w:r>
        <w:rPr>
          <w:rFonts w:ascii="Times New Roman" w:hAnsi="Times New Roman"/>
          <w:i/>
          <w:sz w:val="28"/>
          <w:szCs w:val="28"/>
        </w:rPr>
        <w:t xml:space="preserve">державній, комунальній та приватній власності. </w:t>
      </w:r>
      <w:r>
        <w:rPr>
          <w:rFonts w:ascii="Times New Roman" w:hAnsi="Times New Roman"/>
          <w:sz w:val="28"/>
          <w:szCs w:val="28"/>
        </w:rPr>
        <w:t>Землі загального користування дачного кооперативу безоплатно передаються йому у власність за клопотанням вищого органу управління кооперативу до відповідного органу виконавчої влади чи органу місцевого самоврядування на підставі технічної документації із землеустрою щодо складання документів, що посвідчує право на земельну ділянку. До земель загального користування дачного кооперативу належать земельні ділянки, зайняті захисними смугами, дорогами, проїздами, будівлями і спорудами загального користування.</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sidRPr="00AE2C87">
        <w:rPr>
          <w:rFonts w:ascii="Times New Roman" w:hAnsi="Times New Roman"/>
          <w:b/>
          <w:i/>
          <w:sz w:val="28"/>
          <w:szCs w:val="28"/>
        </w:rPr>
        <w:t xml:space="preserve">На землях рекреаційного призначення забороняється </w:t>
      </w:r>
      <w:r>
        <w:rPr>
          <w:rFonts w:ascii="Times New Roman" w:hAnsi="Times New Roman"/>
          <w:sz w:val="28"/>
          <w:szCs w:val="28"/>
        </w:rPr>
        <w:t>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Порядок використання земель рекреаційного призначення визначається законом.</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Згідно ст. 1 </w:t>
      </w:r>
      <w:r>
        <w:rPr>
          <w:rFonts w:ascii="Times New Roman" w:hAnsi="Times New Roman"/>
          <w:b/>
          <w:i/>
          <w:sz w:val="28"/>
          <w:szCs w:val="28"/>
        </w:rPr>
        <w:t xml:space="preserve">Закону України «Про туризм» : Туризм – </w:t>
      </w:r>
      <w:r>
        <w:rPr>
          <w:rFonts w:ascii="Times New Roman" w:hAnsi="Times New Roman"/>
          <w:sz w:val="28"/>
          <w:szCs w:val="28"/>
        </w:rPr>
        <w:t>це тимчасовий виїзд особи з місця проживання в оздоровчих, пізнавальних, професійно – ділових чи інших цілях без здійснення оплачуваної діяльності в місці, куди особа від’їжджає.</w:t>
      </w:r>
    </w:p>
    <w:p w:rsidR="00AB2F6B" w:rsidRDefault="00AB2F6B" w:rsidP="001A5298">
      <w:pPr>
        <w:pStyle w:val="ListParagraph"/>
        <w:tabs>
          <w:tab w:val="left" w:pos="8931"/>
        </w:tabs>
        <w:spacing w:after="0" w:line="360" w:lineRule="auto"/>
        <w:ind w:left="0" w:firstLine="709"/>
        <w:jc w:val="both"/>
        <w:rPr>
          <w:rFonts w:ascii="Times New Roman" w:hAnsi="Times New Roman"/>
          <w:b/>
          <w:i/>
          <w:sz w:val="28"/>
          <w:szCs w:val="28"/>
        </w:rPr>
      </w:pPr>
      <w:r>
        <w:rPr>
          <w:rFonts w:ascii="Times New Roman" w:hAnsi="Times New Roman"/>
          <w:b/>
          <w:i/>
          <w:sz w:val="28"/>
          <w:szCs w:val="28"/>
        </w:rPr>
        <w:t>Організаційними формами туризму є міжнародний і внутрішній туризм.</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До міжнародного туризму належать : </w:t>
      </w:r>
      <w:r>
        <w:rPr>
          <w:rFonts w:ascii="Times New Roman" w:hAnsi="Times New Roman"/>
          <w:sz w:val="28"/>
          <w:szCs w:val="28"/>
        </w:rPr>
        <w:t>в’їзний туризм – подорожі в межах України осіб, які постійно не проживають на її території, та виїзний туризм – подорожі громадян України та осіб, які постійно проживають на території України, до іншої країни.</w:t>
      </w:r>
    </w:p>
    <w:p w:rsidR="00AB2F6B" w:rsidRPr="00F104B3" w:rsidRDefault="00AB2F6B" w:rsidP="001A5298">
      <w:pPr>
        <w:pStyle w:val="ListParagraph"/>
        <w:tabs>
          <w:tab w:val="left" w:pos="8931"/>
        </w:tabs>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Внутрішнім туризмом </w:t>
      </w:r>
      <w:r>
        <w:rPr>
          <w:rFonts w:ascii="Times New Roman" w:hAnsi="Times New Roman"/>
          <w:sz w:val="28"/>
          <w:szCs w:val="28"/>
        </w:rPr>
        <w:t xml:space="preserve">є подорожі в межах території України громадян України та осіб, які постійно проживають на її території. Залежно від категорії осіб, які здійснюють туристичні подорожі (поїздки, відвідування), їх цілей, об’єктів, що використовуються або відвідуються, чи інших ознак існують </w:t>
      </w:r>
      <w:r w:rsidRPr="00F104B3">
        <w:rPr>
          <w:rFonts w:ascii="Times New Roman" w:hAnsi="Times New Roman"/>
          <w:b/>
          <w:i/>
          <w:sz w:val="28"/>
          <w:szCs w:val="28"/>
        </w:rPr>
        <w:t>такі види туризму :</w:t>
      </w:r>
      <w:r>
        <w:rPr>
          <w:rFonts w:ascii="Times New Roman" w:hAnsi="Times New Roman"/>
          <w:i/>
          <w:sz w:val="28"/>
          <w:szCs w:val="28"/>
        </w:rPr>
        <w:t>дитячій, молодіжний, сімейний, для осіб похилого віку, для інвалідів, курортно – пізнавальний, лікувально – оздоровчій, спортивний, релігійний, екологічний (зелений), сільський, підводний, гірський, пригодницький, мисливський, автомобільний, самодіяльний тощо.</w:t>
      </w:r>
    </w:p>
    <w:p w:rsidR="00AB2F6B" w:rsidRDefault="00AB2F6B" w:rsidP="001A5298">
      <w:pPr>
        <w:pStyle w:val="ListParagraph"/>
        <w:tabs>
          <w:tab w:val="left" w:pos="8931"/>
        </w:tabs>
        <w:spacing w:after="0" w:line="360" w:lineRule="auto"/>
        <w:ind w:left="0" w:firstLine="709"/>
        <w:rPr>
          <w:rFonts w:ascii="Times New Roman" w:hAnsi="Times New Roman"/>
          <w:sz w:val="28"/>
          <w:szCs w:val="28"/>
        </w:rPr>
      </w:pPr>
      <w:r>
        <w:rPr>
          <w:rFonts w:ascii="Times New Roman" w:hAnsi="Times New Roman"/>
          <w:b/>
          <w:sz w:val="28"/>
          <w:szCs w:val="28"/>
        </w:rPr>
        <w:t xml:space="preserve">До земель історико – культурного призначення належать землі, </w:t>
      </w:r>
      <w:r>
        <w:rPr>
          <w:rFonts w:ascii="Times New Roman" w:hAnsi="Times New Roman"/>
          <w:sz w:val="28"/>
          <w:szCs w:val="28"/>
        </w:rPr>
        <w:t>на яких розташовані пам’ятники культурної спадщини, їх комплекси (ансамблі), історико – культурні заповідники, історико – культурні заповідні території, охоронювані археологічні території, музеї просто неба, меморіальні музеї – садиби (ст. 53 Земельного кодексу України).</w:t>
      </w:r>
    </w:p>
    <w:p w:rsidR="00AB2F6B" w:rsidRDefault="00AB2F6B" w:rsidP="001A5298">
      <w:pPr>
        <w:pStyle w:val="ListParagraph"/>
        <w:tabs>
          <w:tab w:val="left" w:pos="8931"/>
        </w:tabs>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Землі історико - культурного призначення можуть перебувати у </w:t>
      </w:r>
      <w:r>
        <w:rPr>
          <w:rFonts w:ascii="Times New Roman" w:hAnsi="Times New Roman"/>
          <w:i/>
          <w:sz w:val="28"/>
          <w:szCs w:val="28"/>
        </w:rPr>
        <w:t>державній, комунальній та приватній власності.</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Навколо історико – культурних заповідників, історико – культурних заповідних територій, музеїв просто неба, меморіальних музеїв – садиб, пам’яток культурної спадщини, їх комплексів (ансамблів) встановлюються зони охорони пам’яток із забороною діяльності, що шкідливо впливає або може вплинути на додержання режиму використання таких земель.</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Порядок використання земель історико – культурного призначення визначається законом.</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Згідно ст. 1 </w:t>
      </w:r>
      <w:r>
        <w:rPr>
          <w:rFonts w:ascii="Times New Roman" w:hAnsi="Times New Roman"/>
          <w:b/>
          <w:sz w:val="28"/>
          <w:szCs w:val="28"/>
        </w:rPr>
        <w:t xml:space="preserve">Закону України «Про охорону культурної спадщини» : </w:t>
      </w:r>
      <w:r>
        <w:rPr>
          <w:rFonts w:ascii="Times New Roman" w:hAnsi="Times New Roman"/>
          <w:b/>
          <w:i/>
          <w:sz w:val="28"/>
          <w:szCs w:val="28"/>
        </w:rPr>
        <w:t xml:space="preserve">Культурна спадщини – </w:t>
      </w:r>
      <w:r>
        <w:rPr>
          <w:rFonts w:ascii="Times New Roman" w:hAnsi="Times New Roman"/>
          <w:sz w:val="28"/>
          <w:szCs w:val="28"/>
        </w:rPr>
        <w:t xml:space="preserve">це сукупність успадкованих людством від попередніх поколінь об’єктів культурної спадщини; </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Охорона культурної спадщини – </w:t>
      </w:r>
      <w:r>
        <w:rPr>
          <w:rFonts w:ascii="Times New Roman" w:hAnsi="Times New Roman"/>
          <w:sz w:val="28"/>
          <w:szCs w:val="28"/>
        </w:rPr>
        <w:t>система правових, організаційних, фінансових, матеріально - технічних, містобудівних, інформаційних та інших заходів з обліку (виявлення, наукове вивчення, класифікація, державна реєстрація), запобігання руйнуванню або заподіянню шкоди, забезпечення захисту, збереження, утримання, відповідного використання, консервації, реставрації, ремонту, реабілітації, пристосування та музеєфікації об’єктів культурної спадщини;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Зони охорони пам’ятки (далі зони охорони) –</w:t>
      </w:r>
      <w:r>
        <w:rPr>
          <w:rFonts w:ascii="Times New Roman" w:hAnsi="Times New Roman"/>
          <w:sz w:val="28"/>
          <w:szCs w:val="28"/>
        </w:rPr>
        <w:t xml:space="preserve"> встановлені навколо пам’ятки охоронна зона, зона регулювання забудови, зона охоронюваного ландшафту, зона охорони археологічного культурного шару, в межах яких діє спеціальний режим їх використання.</w:t>
      </w:r>
    </w:p>
    <w:p w:rsidR="00AB2F6B" w:rsidRDefault="00AB2F6B" w:rsidP="001A5298">
      <w:pPr>
        <w:pStyle w:val="ListParagraph"/>
        <w:tabs>
          <w:tab w:val="left" w:pos="8931"/>
        </w:tabs>
        <w:spacing w:after="0" w:line="360" w:lineRule="auto"/>
        <w:ind w:left="0" w:firstLine="709"/>
        <w:jc w:val="both"/>
        <w:rPr>
          <w:rFonts w:ascii="Times New Roman" w:hAnsi="Times New Roman"/>
          <w:b/>
          <w:sz w:val="28"/>
          <w:szCs w:val="28"/>
        </w:rPr>
      </w:pPr>
      <w:r w:rsidRPr="00766671">
        <w:rPr>
          <w:rFonts w:ascii="Times New Roman" w:hAnsi="Times New Roman"/>
          <w:b/>
          <w:sz w:val="28"/>
          <w:szCs w:val="28"/>
        </w:rPr>
        <w:t>Класифікація об’єктів культурної спадщини (ст. 2 Закону) :</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За типами об’єкти культурної спадщини поділяються на : 1) Споруди (витвори) </w:t>
      </w:r>
      <w:r>
        <w:rPr>
          <w:rFonts w:ascii="Times New Roman" w:hAnsi="Times New Roman"/>
          <w:sz w:val="28"/>
          <w:szCs w:val="28"/>
        </w:rPr>
        <w:t xml:space="preserve">твори архітектури та інженерного мистецтва, твори монументальної скульптури та монументального малярства, археологічні об’єкти, печери з наявними свідченнями життєдіяльності людини, будівлі або приміщення в них, що зберегли автентичні свідчення про визначні історичні події, життя та діяльність відомих осіб; </w:t>
      </w:r>
      <w:r>
        <w:rPr>
          <w:rFonts w:ascii="Times New Roman" w:hAnsi="Times New Roman"/>
          <w:b/>
          <w:i/>
          <w:sz w:val="28"/>
          <w:szCs w:val="28"/>
        </w:rPr>
        <w:t xml:space="preserve">2) комплекси (ансамблі) – </w:t>
      </w:r>
      <w:r>
        <w:rPr>
          <w:rFonts w:ascii="Times New Roman" w:hAnsi="Times New Roman"/>
          <w:sz w:val="28"/>
          <w:szCs w:val="28"/>
        </w:rPr>
        <w:t xml:space="preserve">типографічно визначені сукупності окремих або поєднаних між собою об’єктів культурної спадщини; </w:t>
      </w:r>
      <w:r>
        <w:rPr>
          <w:rFonts w:ascii="Times New Roman" w:hAnsi="Times New Roman"/>
          <w:b/>
          <w:i/>
          <w:sz w:val="28"/>
          <w:szCs w:val="28"/>
        </w:rPr>
        <w:t xml:space="preserve">3) визначні місця – </w:t>
      </w:r>
      <w:r>
        <w:rPr>
          <w:rFonts w:ascii="Times New Roman" w:hAnsi="Times New Roman"/>
          <w:sz w:val="28"/>
          <w:szCs w:val="28"/>
        </w:rPr>
        <w:t>зони або ландшафти, природно – антропогенні витвори, що донесли до нашого часу цінність з археологічного, естетичного, етнологічного, архітектурного, мистецького, наукового чи художнього погляду.</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За видами об’єкти культурної спадщини поділяються на : </w:t>
      </w:r>
      <w:r>
        <w:rPr>
          <w:rFonts w:ascii="Times New Roman" w:hAnsi="Times New Roman"/>
          <w:b/>
          <w:i/>
          <w:sz w:val="28"/>
          <w:szCs w:val="28"/>
        </w:rPr>
        <w:t xml:space="preserve">1) археологічні – </w:t>
      </w:r>
      <w:r>
        <w:rPr>
          <w:rFonts w:ascii="Times New Roman" w:hAnsi="Times New Roman"/>
          <w:sz w:val="28"/>
          <w:szCs w:val="28"/>
        </w:rPr>
        <w:t xml:space="preserve">рештки життєдіяльності людини (нерухомі об’єкти культурної спадщини: городища, кургани, залишки стародавніх поселень, стоянок, укріплень, військової таборів, виробництв, іригаційних споруд, шляхів, могильники, культові місця та споруди, їх залишки чи руїни, печери, наскальні зображення, ділянки історичного культурного шару, поля давніх битв, а також пов’язані з ними рухомі предмети), що містяться під земною поверхнею та під водою і є невідтворним джерелом інформації про зародження і розвиток цивілізації; </w:t>
      </w:r>
      <w:r>
        <w:rPr>
          <w:rFonts w:ascii="Times New Roman" w:hAnsi="Times New Roman"/>
          <w:b/>
          <w:i/>
          <w:sz w:val="28"/>
          <w:szCs w:val="28"/>
        </w:rPr>
        <w:t xml:space="preserve">2) історичні – </w:t>
      </w:r>
      <w:r>
        <w:rPr>
          <w:rFonts w:ascii="Times New Roman" w:hAnsi="Times New Roman"/>
          <w:sz w:val="28"/>
          <w:szCs w:val="28"/>
        </w:rPr>
        <w:t xml:space="preserve">будинки, споруди, їх комплекси (ансамблі), окремі поховання та некрополі, місця масових поховань померлих та померлих (загиблих) військовослужбовців (у тому числі іноземців), які загинули у війнах. Внаслідок депортації та політичних репресій на території України, місця бойових дій, місця загибелі бойових кораблів, морських та річкових суден, у тому числі із залишками бойової техніки, озброєння, амуніції тощо, визначні місця, пов’язані з важливими історичними подіями, з життям та діяльністю відомих осіб, культурою та побутом народів; </w:t>
      </w:r>
      <w:r>
        <w:rPr>
          <w:rFonts w:ascii="Times New Roman" w:hAnsi="Times New Roman"/>
          <w:b/>
          <w:i/>
          <w:sz w:val="28"/>
          <w:szCs w:val="28"/>
        </w:rPr>
        <w:t xml:space="preserve">3) об’єкти монументального мистецтва – </w:t>
      </w:r>
      <w:r>
        <w:rPr>
          <w:rFonts w:ascii="Times New Roman" w:hAnsi="Times New Roman"/>
          <w:sz w:val="28"/>
          <w:szCs w:val="28"/>
        </w:rPr>
        <w:t xml:space="preserve">твори образотворчого мистецтва: як </w:t>
      </w:r>
      <w:r>
        <w:rPr>
          <w:rFonts w:ascii="Times New Roman" w:hAnsi="Times New Roman"/>
          <w:i/>
          <w:sz w:val="28"/>
          <w:szCs w:val="28"/>
        </w:rPr>
        <w:t xml:space="preserve">самостійні (окремі), </w:t>
      </w:r>
      <w:r>
        <w:rPr>
          <w:rFonts w:ascii="Times New Roman" w:hAnsi="Times New Roman"/>
          <w:sz w:val="28"/>
          <w:szCs w:val="28"/>
        </w:rPr>
        <w:t xml:space="preserve">так і ті, що пов’язані з архітектурними, археологічними чи іншими пам’ятками або утворюваними ними комплексами (ансамблями); </w:t>
      </w:r>
      <w:r>
        <w:rPr>
          <w:rFonts w:ascii="Times New Roman" w:hAnsi="Times New Roman"/>
          <w:b/>
          <w:i/>
          <w:sz w:val="28"/>
          <w:szCs w:val="28"/>
        </w:rPr>
        <w:t xml:space="preserve">4) об’єкти архітектури – </w:t>
      </w:r>
      <w:r>
        <w:rPr>
          <w:rFonts w:ascii="Times New Roman" w:hAnsi="Times New Roman"/>
          <w:sz w:val="28"/>
          <w:szCs w:val="28"/>
        </w:rPr>
        <w:t xml:space="preserve">окремі будівлі, архітектурні споруди, що повністю або частково збереглися в автентичному стані і характеризуються відзнаками певної культури, епохи, певних стилів, традицій, будівельних технологій або є творами відомих авторів; </w:t>
      </w:r>
      <w:r>
        <w:rPr>
          <w:rFonts w:ascii="Times New Roman" w:hAnsi="Times New Roman"/>
          <w:b/>
          <w:i/>
          <w:sz w:val="28"/>
          <w:szCs w:val="28"/>
        </w:rPr>
        <w:t xml:space="preserve">5) об’єкти містобудування – </w:t>
      </w:r>
      <w:r>
        <w:rPr>
          <w:rFonts w:ascii="Times New Roman" w:hAnsi="Times New Roman"/>
          <w:sz w:val="28"/>
          <w:szCs w:val="28"/>
        </w:rPr>
        <w:t xml:space="preserve">історично сформовані центи населених місць, вулиці, квартали, площі, комплекси (ансамблі) із збереженою планувальною і просторовою структурою та історичною забудовою, у тому числі поєднаною з ландшафтом, залишки давнього розпланування та забудови, що є носіями певних містобудівних ідей; </w:t>
      </w:r>
      <w:r>
        <w:rPr>
          <w:rFonts w:ascii="Times New Roman" w:hAnsi="Times New Roman"/>
          <w:b/>
          <w:i/>
          <w:sz w:val="28"/>
          <w:szCs w:val="28"/>
        </w:rPr>
        <w:t xml:space="preserve">6) об’єкти садово – паркового мистецтва – </w:t>
      </w:r>
      <w:r>
        <w:rPr>
          <w:rFonts w:ascii="Times New Roman" w:hAnsi="Times New Roman"/>
          <w:sz w:val="28"/>
          <w:szCs w:val="28"/>
        </w:rPr>
        <w:t xml:space="preserve">поєднання паркового будівництва з природними або створеними людиною ландшафтами; </w:t>
      </w:r>
      <w:r>
        <w:rPr>
          <w:rFonts w:ascii="Times New Roman" w:hAnsi="Times New Roman"/>
          <w:b/>
          <w:i/>
          <w:sz w:val="28"/>
          <w:szCs w:val="28"/>
        </w:rPr>
        <w:t xml:space="preserve">7) ландшафтні – </w:t>
      </w:r>
      <w:r>
        <w:rPr>
          <w:rFonts w:ascii="Times New Roman" w:hAnsi="Times New Roman"/>
          <w:sz w:val="28"/>
          <w:szCs w:val="28"/>
        </w:rPr>
        <w:t xml:space="preserve">природні території, які мають історичну цінність; </w:t>
      </w:r>
      <w:r>
        <w:rPr>
          <w:rFonts w:ascii="Times New Roman" w:hAnsi="Times New Roman"/>
          <w:b/>
          <w:i/>
          <w:sz w:val="28"/>
          <w:szCs w:val="28"/>
        </w:rPr>
        <w:t xml:space="preserve">8) об’єкти науки і техніки – </w:t>
      </w:r>
      <w:r>
        <w:rPr>
          <w:rFonts w:ascii="Times New Roman" w:hAnsi="Times New Roman"/>
          <w:sz w:val="28"/>
          <w:szCs w:val="28"/>
        </w:rPr>
        <w:t>унікальні промислові, виробничі, науково – виробничі, інженерні, інженерно – транспортні, видобувні об’єкти, що визначають рівень розвитку науки і техніки певної епохи, певних наукових напрямів або промислових галузей.</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Зони охорони пам’яток, історичні ареали населених місць </w:t>
      </w:r>
      <w:r>
        <w:rPr>
          <w:rFonts w:ascii="Times New Roman" w:hAnsi="Times New Roman"/>
          <w:sz w:val="28"/>
          <w:szCs w:val="28"/>
        </w:rPr>
        <w:t>(ст. 32 Закону). З метою захисту традиційного характеру середовища окремих пам’яток, їх комплексів (ансамблів), історико – культурних заповідних територій навколо них мають встановлюватися зони охорони пам’яток: охоронні зони, зони регулювання забудови, зони охоронюваного ландшафту, зони охорони археологічного культурного шару. Межі та режими використання зон охорони пам’яток визначається відповідною науково – проектною документацією і затверджується відповідним органом охорони культурної спадщини. Порядок визначення та затвердження меж і режимів використання зон охорони пам’яток та внесення змін до них встановлюється центральним органом виконавчої влади, що забезпечує формування державної політики у сфері охорони культурної спадщини.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 метою захисту традиційного характеру середовища населених місць </w:t>
      </w:r>
      <w:r w:rsidRPr="003D1B46">
        <w:rPr>
          <w:rFonts w:ascii="Times New Roman" w:hAnsi="Times New Roman"/>
          <w:i/>
          <w:sz w:val="28"/>
          <w:szCs w:val="28"/>
        </w:rPr>
        <w:t xml:space="preserve">вони заносяться до списку історичних населених місць України. </w:t>
      </w:r>
      <w:r>
        <w:rPr>
          <w:rFonts w:ascii="Times New Roman" w:hAnsi="Times New Roman"/>
          <w:sz w:val="28"/>
          <w:szCs w:val="28"/>
        </w:rPr>
        <w:t>Список історичних населених місць України за поданням центрального органу виконавчої влади у сфері охорони культурної спадщини затверджується Кабінетом Міністрів України. Межі та режими використання історичних ареалів населених місць, обмеження господарської діяльності на територіях історичних ареалів населених місць визначаються у порядку, встановленому Кабінетом Міністрів України, відповідно науково – проектною документацією, яка затверджується центральним органом виконавчої влади . що забезпечує формування державної політики у сфері охорони культурної спадщини, або уповноваженими органами охорони культурної спадщини. На охоронюваних археологічних територіях, у межах зон охорони пам’яток, історичних ареалів населених місць, занесених до списку історичних населених місць України. Забороняються містобудівні, архітектурні чи ландшафтні перетворення, будівельні, меліоративні, шляхові, земляні роботи без дозволу відповідного органу охорони культурної спадщини.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Історико – культурні заповідники та історико – культурні заповідні території </w:t>
      </w:r>
      <w:r>
        <w:rPr>
          <w:rFonts w:ascii="Times New Roman" w:hAnsi="Times New Roman"/>
          <w:sz w:val="28"/>
          <w:szCs w:val="28"/>
        </w:rPr>
        <w:t>(ст. 33 Закону).</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Комплекс (ансамбль) пам’яток з усією сукупністю компонентів, що становить культурну, історичну та наукову цінність, просторово, планувально і функціонально виділений у структурі населеного пункту або локалізований поза його межами, може бути оголошений історико – культурним заповідником державного або місцевого значення.</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Історико – культурними заповідниками державного значення оголошується комплекс (ансамбль) пам’яток, що має особливу культурну, історичну і наукову цінність, справив значний вплив на розвиток культури, архітектури, містобудування. Безпосередньо пов’язаний з видатними історичними подіями.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Історико – культурним заповідником місцевого значення оголошується комплекс (ансамбль) пам’яток. Що відображає характерні особливості історії, культури, архітектури чи містобудування окремого регіону або населеного пункту.</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Історико – культурною заповідною територією оголошується істерично сформована територія, в межах якої збереглася значна кількість об’єктів культурної спадщини.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Оголошення території історико – культурною заповідною територією здійснюється без вилучення пам’яток, їх комплексів (ансамблів), земельних ділянок, розташованих у межах такої території, у їх власників або користувачів.</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Залежно від домінуючого виду об’єктів культурної спадщини історико – культурні заповідники чи історико – культурні заповідні території можуть бути історико – архітектурними, архітектурно – історичними, історико – меморіальними, історико – археологічними, історико – етнографічними.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 межах історико – культурного заповідника та історико – 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 </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Містобудівні, архітектурні та ландшафтні перетворення, будівельні, меліоративні, шляхові, земляні роботи, проведення масових і видовищних заходів здійснюються: 1) у межах історико – культурного заповідника – за погодженням з органом, до сфери управління якого належить історико – культурний заповідник; 2) у межах історико – культурної заповідної території – за погодженням з центральним органом виконавчої влади, що реалізує державну політику у сфері охорони культурної спадщини, на підставі висновку органу, що забезпечує дотримання режиму історико – культурної заповідної території.</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Положення про історико – культурний заповідник затверджується органом, до сфери управління якого він віднесений при прийнятті рішення про оголошення комплексу (ансамблю) пам’яток історико – культурним заповідником.</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sz w:val="28"/>
          <w:szCs w:val="28"/>
        </w:rPr>
        <w:t>Положення про історико – культурну заповідну територію затверджується центральним органом виконавчої влади у сфері охорони культурної спадщини.</w:t>
      </w:r>
    </w:p>
    <w:p w:rsidR="00AB2F6B" w:rsidRDefault="00AB2F6B" w:rsidP="001A5298">
      <w:pPr>
        <w:pStyle w:val="ListParagraph"/>
        <w:tabs>
          <w:tab w:val="left" w:pos="8931"/>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Статус територій, пов’язаних з охороною культурної спадщини </w:t>
      </w:r>
      <w:r>
        <w:rPr>
          <w:rFonts w:ascii="Times New Roman" w:hAnsi="Times New Roman"/>
          <w:sz w:val="28"/>
          <w:szCs w:val="28"/>
        </w:rPr>
        <w:t xml:space="preserve">(ст. 334 Закону). Землі, на яких розташовані пам’ятки, історико – культурні заповідники, історико – культурні заповідні території охоронювані археологічні території, належать до земель історико – культурного призначення, включаються до державних земельних кадастрів, планів землекористування, проектів землеустрою, іншої проектно – планувальної та містобудівної документації. Встановлення зон охорони пам’яток та затвердження меж історичних ареалів населених місць не може бути підставою для примусового вилучення з володіння (користування) земельних ділянок у юридичних та фізичних осіб за умов дотримання землевласниками та землекористувачами правил використання земель історико – культурного призначення. </w:t>
      </w:r>
    </w:p>
    <w:p w:rsidR="00AB2F6B" w:rsidRDefault="00AB2F6B" w:rsidP="00116107">
      <w:pPr>
        <w:pStyle w:val="ListParagraph"/>
        <w:tabs>
          <w:tab w:val="left" w:pos="8931"/>
        </w:tabs>
        <w:spacing w:after="0" w:line="360" w:lineRule="auto"/>
        <w:ind w:left="0" w:firstLine="709"/>
        <w:rPr>
          <w:rFonts w:ascii="Times New Roman" w:hAnsi="Times New Roman"/>
          <w:b/>
          <w:sz w:val="28"/>
          <w:szCs w:val="28"/>
        </w:rPr>
      </w:pPr>
      <w:r>
        <w:rPr>
          <w:rFonts w:ascii="Times New Roman" w:hAnsi="Times New Roman"/>
          <w:b/>
          <w:sz w:val="28"/>
          <w:szCs w:val="28"/>
        </w:rPr>
        <w:t>Література:</w:t>
      </w:r>
    </w:p>
    <w:p w:rsidR="00AB2F6B" w:rsidRDefault="00AB2F6B" w:rsidP="001A5298">
      <w:pPr>
        <w:pStyle w:val="ListParagraph"/>
        <w:numPr>
          <w:ilvl w:val="0"/>
          <w:numId w:val="3"/>
        </w:numPr>
        <w:tabs>
          <w:tab w:val="left" w:pos="8931"/>
        </w:tabs>
        <w:spacing w:after="0" w:line="360" w:lineRule="auto"/>
        <w:jc w:val="both"/>
        <w:rPr>
          <w:rFonts w:ascii="Times New Roman" w:hAnsi="Times New Roman"/>
          <w:sz w:val="28"/>
          <w:szCs w:val="28"/>
        </w:rPr>
      </w:pPr>
      <w:r>
        <w:rPr>
          <w:rFonts w:ascii="Times New Roman" w:hAnsi="Times New Roman"/>
          <w:sz w:val="28"/>
          <w:szCs w:val="28"/>
        </w:rPr>
        <w:t>Земельний кодекс України: науково-практичний коментар / за ред.. А.П. Гетьмана, М.В. Шульги. – Вид 4-те, допов. – Х.: Тов «Одіссей», 2007. -624.</w:t>
      </w:r>
      <w:bookmarkStart w:id="0" w:name="_GoBack"/>
      <w:bookmarkEnd w:id="0"/>
    </w:p>
    <w:p w:rsidR="00AB2F6B" w:rsidRDefault="00AB2F6B" w:rsidP="001A5298">
      <w:pPr>
        <w:pStyle w:val="Heading1"/>
        <w:numPr>
          <w:ilvl w:val="0"/>
          <w:numId w:val="3"/>
        </w:numPr>
        <w:spacing w:line="360" w:lineRule="auto"/>
        <w:jc w:val="both"/>
        <w:rPr>
          <w:b w:val="0"/>
          <w:szCs w:val="28"/>
        </w:rPr>
      </w:pPr>
      <w:r>
        <w:rPr>
          <w:b w:val="0"/>
          <w:szCs w:val="28"/>
        </w:rPr>
        <w:t>Корнєєв Ю.В. Земельне право. 2-ге вид. переробл. та доп. Навч. посіб. – К.: Центр учбової літератури, 2011. – 240 с.</w:t>
      </w:r>
    </w:p>
    <w:p w:rsidR="00AB2F6B" w:rsidRDefault="00AB2F6B" w:rsidP="001A5298">
      <w:pPr>
        <w:pStyle w:val="Heading1"/>
        <w:numPr>
          <w:ilvl w:val="0"/>
          <w:numId w:val="3"/>
        </w:numPr>
        <w:spacing w:line="360" w:lineRule="auto"/>
        <w:jc w:val="both"/>
        <w:rPr>
          <w:b w:val="0"/>
          <w:szCs w:val="28"/>
        </w:rPr>
      </w:pPr>
      <w:r>
        <w:rPr>
          <w:b w:val="0"/>
          <w:szCs w:val="28"/>
        </w:rPr>
        <w:t>Мірошниченко А.М. Земельне право України. Навчальний посібник. – К.: Алерта, ЦУЛ, 2011. – 678 с.</w:t>
      </w:r>
    </w:p>
    <w:p w:rsidR="00AB2F6B" w:rsidRPr="001A5298" w:rsidRDefault="00AB2F6B" w:rsidP="001A5298">
      <w:pPr>
        <w:pStyle w:val="Heading1"/>
        <w:numPr>
          <w:ilvl w:val="0"/>
          <w:numId w:val="3"/>
        </w:numPr>
        <w:spacing w:line="360" w:lineRule="auto"/>
        <w:jc w:val="both"/>
        <w:rPr>
          <w:b w:val="0"/>
          <w:szCs w:val="28"/>
        </w:rPr>
      </w:pPr>
      <w:r>
        <w:rPr>
          <w:b w:val="0"/>
          <w:szCs w:val="28"/>
        </w:rPr>
        <w:t>Шульга М.В. Земельне право України. – К.: Юрінком Інтер, 2004. – 224 с.</w:t>
      </w:r>
    </w:p>
    <w:p w:rsidR="00AB2F6B" w:rsidRPr="00A75573" w:rsidRDefault="00AB2F6B" w:rsidP="001A5298">
      <w:pPr>
        <w:spacing w:after="0" w:line="360" w:lineRule="auto"/>
        <w:ind w:firstLine="709"/>
        <w:rPr>
          <w:rFonts w:ascii="Times New Roman" w:hAnsi="Times New Roman"/>
          <w:sz w:val="28"/>
          <w:szCs w:val="28"/>
        </w:rPr>
      </w:pPr>
    </w:p>
    <w:sectPr w:rsidR="00AB2F6B" w:rsidRPr="00A75573" w:rsidSect="001A5298">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3D5"/>
    <w:multiLevelType w:val="hybridMultilevel"/>
    <w:tmpl w:val="E46A6F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FA10C24"/>
    <w:multiLevelType w:val="hybridMultilevel"/>
    <w:tmpl w:val="C5D27FD8"/>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623231A"/>
    <w:multiLevelType w:val="hybridMultilevel"/>
    <w:tmpl w:val="22CE85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5573"/>
    <w:rsid w:val="00024A3C"/>
    <w:rsid w:val="00071921"/>
    <w:rsid w:val="000F318A"/>
    <w:rsid w:val="00116107"/>
    <w:rsid w:val="001A5298"/>
    <w:rsid w:val="002F0B31"/>
    <w:rsid w:val="00353F05"/>
    <w:rsid w:val="003D1B46"/>
    <w:rsid w:val="003D4778"/>
    <w:rsid w:val="004F58DF"/>
    <w:rsid w:val="00766671"/>
    <w:rsid w:val="007E5CD3"/>
    <w:rsid w:val="008541E3"/>
    <w:rsid w:val="008A0E89"/>
    <w:rsid w:val="00A75573"/>
    <w:rsid w:val="00AB2F6B"/>
    <w:rsid w:val="00AE2C87"/>
    <w:rsid w:val="00BB52D2"/>
    <w:rsid w:val="00CE3F49"/>
    <w:rsid w:val="00D45EEC"/>
    <w:rsid w:val="00F104B3"/>
    <w:rsid w:val="00F171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F49"/>
    <w:pPr>
      <w:spacing w:after="200" w:line="276" w:lineRule="auto"/>
    </w:pPr>
    <w:rPr>
      <w:lang w:val="uk-UA"/>
    </w:rPr>
  </w:style>
  <w:style w:type="paragraph" w:styleId="Heading1">
    <w:name w:val="heading 1"/>
    <w:basedOn w:val="Normal"/>
    <w:next w:val="Normal"/>
    <w:link w:val="Heading1Char"/>
    <w:uiPriority w:val="99"/>
    <w:qFormat/>
    <w:rsid w:val="008A0E89"/>
    <w:pPr>
      <w:keepNext/>
      <w:spacing w:after="0" w:line="240" w:lineRule="auto"/>
      <w:ind w:firstLine="709"/>
      <w:jc w:val="center"/>
      <w:outlineLvl w:val="0"/>
    </w:pPr>
    <w:rPr>
      <w:rFonts w:ascii="Times New Roman" w:eastAsia="Times New Roman" w:hAnsi="Times New Roman"/>
      <w:b/>
      <w:bCs/>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0E89"/>
    <w:rPr>
      <w:rFonts w:ascii="Times New Roman" w:hAnsi="Times New Roman" w:cs="Times New Roman"/>
      <w:b/>
      <w:bCs/>
      <w:sz w:val="24"/>
      <w:szCs w:val="24"/>
      <w:lang w:val="uk-UA" w:eastAsia="ru-RU"/>
    </w:rPr>
  </w:style>
  <w:style w:type="paragraph" w:styleId="ListParagraph">
    <w:name w:val="List Paragraph"/>
    <w:basedOn w:val="Normal"/>
    <w:uiPriority w:val="99"/>
    <w:qFormat/>
    <w:rsid w:val="00A755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8</Pages>
  <Words>8835</Words>
  <Characters>5036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Admin</cp:lastModifiedBy>
  <cp:revision>7</cp:revision>
  <cp:lastPrinted>2018-05-17T19:51:00Z</cp:lastPrinted>
  <dcterms:created xsi:type="dcterms:W3CDTF">2018-05-17T19:31:00Z</dcterms:created>
  <dcterms:modified xsi:type="dcterms:W3CDTF">2019-10-29T08:33:00Z</dcterms:modified>
</cp:coreProperties>
</file>