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B05" w:rsidRPr="00CC7ADC" w:rsidRDefault="00E36B05" w:rsidP="00FE7644">
      <w:pPr>
        <w:spacing w:after="0" w:line="360" w:lineRule="auto"/>
        <w:ind w:firstLine="709"/>
        <w:jc w:val="right"/>
        <w:rPr>
          <w:rFonts w:ascii="Times New Roman" w:hAnsi="Times New Roman"/>
          <w:b/>
          <w:lang w:val="uk-UA"/>
        </w:rPr>
      </w:pPr>
      <w:r w:rsidRPr="00CC7ADC">
        <w:rPr>
          <w:rFonts w:ascii="Times New Roman" w:hAnsi="Times New Roman"/>
          <w:b/>
          <w:lang w:val="uk-UA"/>
        </w:rPr>
        <w:t>Перунова О.М., Степаненко О.О.</w:t>
      </w:r>
    </w:p>
    <w:p w:rsidR="00E36B05" w:rsidRPr="00CC7ADC" w:rsidRDefault="00E36B05" w:rsidP="00FE7644">
      <w:pPr>
        <w:spacing w:after="0" w:line="360" w:lineRule="auto"/>
        <w:ind w:firstLine="709"/>
        <w:jc w:val="right"/>
        <w:rPr>
          <w:rFonts w:ascii="Times New Roman" w:hAnsi="Times New Roman"/>
          <w:b/>
          <w:lang w:val="uk-UA"/>
        </w:rPr>
      </w:pPr>
      <w:r w:rsidRPr="00CC7ADC">
        <w:rPr>
          <w:rFonts w:ascii="Times New Roman" w:hAnsi="Times New Roman"/>
          <w:b/>
          <w:lang w:val="uk-UA"/>
        </w:rPr>
        <w:t>(Харків,Україна)</w:t>
      </w:r>
    </w:p>
    <w:p w:rsidR="00E36B05" w:rsidRPr="00CA7BEE" w:rsidRDefault="00E36B05" w:rsidP="00FE7644">
      <w:pPr>
        <w:autoSpaceDE w:val="0"/>
        <w:autoSpaceDN w:val="0"/>
        <w:adjustRightInd w:val="0"/>
        <w:spacing w:after="0" w:line="360" w:lineRule="auto"/>
        <w:ind w:firstLine="709"/>
        <w:jc w:val="center"/>
        <w:rPr>
          <w:rFonts w:ascii="Times New Roman" w:eastAsia="TimesNewRomanPSMT" w:hAnsi="Times New Roman"/>
          <w:lang w:val="uk-UA"/>
        </w:rPr>
      </w:pPr>
    </w:p>
    <w:p w:rsidR="00E36B05" w:rsidRPr="00CA7BEE" w:rsidRDefault="00E36B05" w:rsidP="00FE7644">
      <w:pPr>
        <w:autoSpaceDE w:val="0"/>
        <w:autoSpaceDN w:val="0"/>
        <w:adjustRightInd w:val="0"/>
        <w:spacing w:after="0" w:line="360" w:lineRule="auto"/>
        <w:ind w:firstLine="709"/>
        <w:jc w:val="center"/>
        <w:rPr>
          <w:rFonts w:ascii="Times New Roman" w:eastAsia="TimesNewRomanPSMT" w:hAnsi="Times New Roman"/>
          <w:b/>
          <w:lang w:val="uk-UA"/>
        </w:rPr>
      </w:pPr>
      <w:r w:rsidRPr="00CA7BEE">
        <w:rPr>
          <w:rFonts w:ascii="Times New Roman" w:eastAsia="TimesNewRomanPSMT" w:hAnsi="Times New Roman"/>
          <w:b/>
          <w:lang w:val="uk-UA"/>
        </w:rPr>
        <w:t>ПІДСТАВИ НАСТАННЯ ГОСПОДАРСЬКО-ПРАВОВОЇ</w:t>
      </w:r>
    </w:p>
    <w:p w:rsidR="00E36B05" w:rsidRPr="00CA7BEE" w:rsidRDefault="00E36B05" w:rsidP="00FE7644">
      <w:pPr>
        <w:autoSpaceDE w:val="0"/>
        <w:autoSpaceDN w:val="0"/>
        <w:adjustRightInd w:val="0"/>
        <w:spacing w:after="0" w:line="360" w:lineRule="auto"/>
        <w:ind w:firstLine="709"/>
        <w:jc w:val="center"/>
        <w:rPr>
          <w:rFonts w:ascii="Times New Roman" w:eastAsia="TimesNewRomanPSMT" w:hAnsi="Times New Roman"/>
          <w:b/>
          <w:lang w:val="uk-UA"/>
        </w:rPr>
      </w:pPr>
      <w:r w:rsidRPr="00CA7BEE">
        <w:rPr>
          <w:rFonts w:ascii="Times New Roman" w:eastAsia="TimesNewRomanPSMT" w:hAnsi="Times New Roman"/>
          <w:b/>
          <w:lang w:val="uk-UA"/>
        </w:rPr>
        <w:t>ВІДПОВІДАЛЬНОСТІ: ТЕОРЕТИКО-ПРАВОВІ ПИТАННЯ</w:t>
      </w:r>
    </w:p>
    <w:p w:rsidR="00E36B05" w:rsidRPr="00CA7BEE" w:rsidRDefault="00E36B05" w:rsidP="00FE7644">
      <w:pPr>
        <w:autoSpaceDE w:val="0"/>
        <w:autoSpaceDN w:val="0"/>
        <w:adjustRightInd w:val="0"/>
        <w:spacing w:after="0" w:line="360" w:lineRule="auto"/>
        <w:ind w:firstLine="709"/>
        <w:jc w:val="center"/>
        <w:rPr>
          <w:rFonts w:ascii="Times New Roman" w:eastAsia="TimesNewRomanPSMT" w:hAnsi="Times New Roman"/>
          <w:lang w:val="uk-UA"/>
        </w:rPr>
      </w:pPr>
    </w:p>
    <w:p w:rsidR="00E36B05" w:rsidRPr="00CA7BEE" w:rsidRDefault="00E36B05" w:rsidP="00FE7644">
      <w:pPr>
        <w:autoSpaceDE w:val="0"/>
        <w:autoSpaceDN w:val="0"/>
        <w:adjustRightInd w:val="0"/>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lang w:val="uk-UA"/>
        </w:rPr>
        <w:t>Тема підстав господарсько-правової відповідальності недостатньо висвітлено вітчизняною наукою. Це пов’язано</w:t>
      </w:r>
      <w:r>
        <w:rPr>
          <w:rFonts w:ascii="Times New Roman" w:eastAsia="TimesNewRomanPSMT" w:hAnsi="Times New Roman"/>
          <w:lang w:val="uk-UA"/>
        </w:rPr>
        <w:t xml:space="preserve"> </w:t>
      </w:r>
      <w:r w:rsidRPr="00CA7BEE">
        <w:rPr>
          <w:rFonts w:ascii="Times New Roman" w:eastAsia="TimesNewRomanPSMT" w:hAnsi="Times New Roman"/>
          <w:lang w:val="uk-UA"/>
        </w:rPr>
        <w:t>з довгими роками невизнання господарської відповідальності як самостійного виду юридичної</w:t>
      </w:r>
      <w:r>
        <w:rPr>
          <w:rFonts w:ascii="Times New Roman" w:eastAsia="TimesNewRomanPSMT" w:hAnsi="Times New Roman"/>
          <w:lang w:val="uk-UA"/>
        </w:rPr>
        <w:t xml:space="preserve"> </w:t>
      </w:r>
      <w:r w:rsidRPr="00CA7BEE">
        <w:rPr>
          <w:rFonts w:ascii="Times New Roman" w:eastAsia="TimesNewRomanPSMT" w:hAnsi="Times New Roman"/>
          <w:lang w:val="uk-UA"/>
        </w:rPr>
        <w:t>відповідальності. Зміни відбулися лише з</w:t>
      </w:r>
      <w:r>
        <w:rPr>
          <w:rFonts w:ascii="Times New Roman" w:eastAsia="TimesNewRomanPSMT" w:hAnsi="Times New Roman"/>
          <w:lang w:val="uk-UA"/>
        </w:rPr>
        <w:t xml:space="preserve"> </w:t>
      </w:r>
      <w:r w:rsidRPr="00CA7BEE">
        <w:rPr>
          <w:rFonts w:ascii="Times New Roman" w:eastAsia="TimesNewRomanPSMT" w:hAnsi="Times New Roman"/>
          <w:lang w:val="uk-UA"/>
        </w:rPr>
        <w:t>набранням у 2004 р. чинності Господарським</w:t>
      </w:r>
      <w:r>
        <w:rPr>
          <w:rFonts w:ascii="Times New Roman" w:eastAsia="TimesNewRomanPSMT" w:hAnsi="Times New Roman"/>
          <w:lang w:val="uk-UA"/>
        </w:rPr>
        <w:t xml:space="preserve"> </w:t>
      </w:r>
      <w:r w:rsidRPr="00CA7BEE">
        <w:rPr>
          <w:rFonts w:ascii="Times New Roman" w:eastAsia="TimesNewRomanPSMT" w:hAnsi="Times New Roman"/>
          <w:lang w:val="uk-UA"/>
        </w:rPr>
        <w:t>кодексом України, де і було вперше на законодавчому рівні закріплено господарську відповідальність та, зокрема, підстави її настання. Недосконалість цієї норми зумовила численні</w:t>
      </w:r>
      <w:r>
        <w:rPr>
          <w:rFonts w:ascii="Times New Roman" w:eastAsia="TimesNewRomanPSMT" w:hAnsi="Times New Roman"/>
          <w:lang w:val="uk-UA"/>
        </w:rPr>
        <w:t xml:space="preserve"> </w:t>
      </w:r>
      <w:r w:rsidRPr="00CA7BEE">
        <w:rPr>
          <w:rFonts w:ascii="Times New Roman" w:eastAsia="TimesNewRomanPSMT" w:hAnsi="Times New Roman"/>
          <w:lang w:val="uk-UA"/>
        </w:rPr>
        <w:t>наукові пошуки у цій проблематиці. Зокрема, постали такі проблемні питання: відсутність</w:t>
      </w:r>
      <w:r>
        <w:rPr>
          <w:rFonts w:ascii="Times New Roman" w:eastAsia="TimesNewRomanPSMT" w:hAnsi="Times New Roman"/>
          <w:lang w:val="uk-UA"/>
        </w:rPr>
        <w:t xml:space="preserve"> </w:t>
      </w:r>
      <w:r w:rsidRPr="00CA7BEE">
        <w:rPr>
          <w:rFonts w:ascii="Times New Roman" w:eastAsia="TimesNewRomanPSMT" w:hAnsi="Times New Roman"/>
          <w:lang w:val="uk-UA"/>
        </w:rPr>
        <w:t>законодавчо закріпленого терміна господарського правопорушення та його складу; відсутність вичерпного переліку підстав господарської відповідальності тощо. Зазначені</w:t>
      </w:r>
      <w:r>
        <w:rPr>
          <w:rFonts w:ascii="Times New Roman" w:eastAsia="TimesNewRomanPSMT" w:hAnsi="Times New Roman"/>
          <w:lang w:val="uk-UA"/>
        </w:rPr>
        <w:t xml:space="preserve"> </w:t>
      </w:r>
      <w:r w:rsidRPr="00CA7BEE">
        <w:rPr>
          <w:rFonts w:ascii="Times New Roman" w:eastAsia="TimesNewRomanPSMT" w:hAnsi="Times New Roman"/>
          <w:lang w:val="uk-UA"/>
        </w:rPr>
        <w:t xml:space="preserve">питання ми розглянемо у статті. </w:t>
      </w:r>
    </w:p>
    <w:p w:rsidR="00E36B05" w:rsidRPr="00CA7BEE" w:rsidRDefault="00E36B05" w:rsidP="00FE7644">
      <w:pPr>
        <w:autoSpaceDE w:val="0"/>
        <w:autoSpaceDN w:val="0"/>
        <w:adjustRightInd w:val="0"/>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lang w:val="uk-UA"/>
        </w:rPr>
        <w:t>Підстави господарсько-правової відповідальності, з нашого погляду, можна розглядати у двох</w:t>
      </w:r>
      <w:r>
        <w:rPr>
          <w:rFonts w:ascii="Times New Roman" w:eastAsia="TimesNewRomanPSMT" w:hAnsi="Times New Roman"/>
          <w:lang w:val="uk-UA"/>
        </w:rPr>
        <w:t xml:space="preserve"> </w:t>
      </w:r>
      <w:r w:rsidRPr="00CA7BEE">
        <w:rPr>
          <w:rFonts w:ascii="Times New Roman" w:eastAsia="TimesNewRomanPSMT" w:hAnsi="Times New Roman"/>
          <w:lang w:val="uk-UA"/>
        </w:rPr>
        <w:t>аспектах – у широкому та вузькому розумінні. Почнемо розгляд із останнього. Під підставами господарської відповідальності розуміють ті основні умови, за наявності</w:t>
      </w:r>
      <w:r>
        <w:rPr>
          <w:rFonts w:ascii="Times New Roman" w:eastAsia="TimesNewRomanPSMT" w:hAnsi="Times New Roman"/>
          <w:lang w:val="uk-UA"/>
        </w:rPr>
        <w:t xml:space="preserve"> </w:t>
      </w:r>
      <w:r w:rsidRPr="00CA7BEE">
        <w:rPr>
          <w:rFonts w:ascii="Times New Roman" w:eastAsia="TimesNewRomanPSMT" w:hAnsi="Times New Roman"/>
          <w:lang w:val="uk-UA"/>
        </w:rPr>
        <w:t>яких вона настає. Законодавством передбачено(ст. 218 Господарського кодексу України), що</w:t>
      </w:r>
      <w:r>
        <w:rPr>
          <w:rFonts w:ascii="Times New Roman" w:eastAsia="TimesNewRomanPSMT" w:hAnsi="Times New Roman"/>
          <w:lang w:val="uk-UA"/>
        </w:rPr>
        <w:t xml:space="preserve"> </w:t>
      </w:r>
      <w:r w:rsidRPr="00CA7BEE">
        <w:rPr>
          <w:rFonts w:ascii="Times New Roman" w:eastAsia="TimesNewRomanPSMT" w:hAnsi="Times New Roman"/>
          <w:lang w:val="uk-UA"/>
        </w:rPr>
        <w:t>господарська відповідальність</w:t>
      </w:r>
      <w:r>
        <w:rPr>
          <w:rFonts w:ascii="Times New Roman" w:eastAsia="TimesNewRomanPSMT" w:hAnsi="Times New Roman"/>
          <w:lang w:val="uk-UA"/>
        </w:rPr>
        <w:t xml:space="preserve"> </w:t>
      </w:r>
      <w:r w:rsidRPr="00CA7BEE">
        <w:rPr>
          <w:rFonts w:ascii="Times New Roman" w:eastAsia="TimesNewRomanPSMT" w:hAnsi="Times New Roman"/>
          <w:lang w:val="uk-UA"/>
        </w:rPr>
        <w:t>– це вчинене</w:t>
      </w:r>
      <w:r>
        <w:rPr>
          <w:rFonts w:ascii="Times New Roman" w:eastAsia="TimesNewRomanPSMT" w:hAnsi="Times New Roman"/>
          <w:lang w:val="uk-UA"/>
        </w:rPr>
        <w:t xml:space="preserve"> </w:t>
      </w:r>
      <w:r w:rsidRPr="00CA7BEE">
        <w:rPr>
          <w:rFonts w:ascii="Times New Roman" w:eastAsia="TimesNewRomanPSMT" w:hAnsi="Times New Roman"/>
          <w:lang w:val="uk-UA"/>
        </w:rPr>
        <w:t>учасником господарських відносин правопорушення у сфері господарювання . Цією нормою закріплено і ключові умови відповідальності, а саме:</w:t>
      </w:r>
    </w:p>
    <w:p w:rsidR="00E36B05" w:rsidRPr="00CA7BEE" w:rsidRDefault="00E36B05" w:rsidP="00FE7644">
      <w:pPr>
        <w:autoSpaceDE w:val="0"/>
        <w:autoSpaceDN w:val="0"/>
        <w:adjustRightInd w:val="0"/>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lang w:val="uk-UA"/>
        </w:rPr>
        <w:t>– незворотність господарської відповідальності, за винятком обставин, коли правопорушник ужив усіх залежних від нього заходів для</w:t>
      </w:r>
      <w:r>
        <w:rPr>
          <w:rFonts w:ascii="Times New Roman" w:eastAsia="TimesNewRomanPSMT" w:hAnsi="Times New Roman"/>
          <w:lang w:val="uk-UA"/>
        </w:rPr>
        <w:t xml:space="preserve"> </w:t>
      </w:r>
      <w:r w:rsidRPr="00CA7BEE">
        <w:rPr>
          <w:rFonts w:ascii="Times New Roman" w:eastAsia="TimesNewRomanPSMT" w:hAnsi="Times New Roman"/>
          <w:lang w:val="uk-UA"/>
        </w:rPr>
        <w:t>недопущення порушення. Тут варто підкреслити, що немає жодних коментарів, які б кваліфікували, які саме «заходи» маються на</w:t>
      </w:r>
      <w:r>
        <w:rPr>
          <w:rFonts w:ascii="Times New Roman" w:eastAsia="TimesNewRomanPSMT" w:hAnsi="Times New Roman"/>
          <w:lang w:val="uk-UA"/>
        </w:rPr>
        <w:t xml:space="preserve"> </w:t>
      </w:r>
      <w:r w:rsidRPr="00CA7BEE">
        <w:rPr>
          <w:rFonts w:ascii="Times New Roman" w:eastAsia="TimesNewRomanPSMT" w:hAnsi="Times New Roman"/>
          <w:lang w:val="uk-UA"/>
        </w:rPr>
        <w:t>увазі. Можна передбачити, що право тлумачення таких заходів покладено на суд. Очевидно, що така законодавча прогалина суперечить сучасним тенденціям «розвантаження» господарських судів і спонукання суб’єктів господарських відносин до досудового розв’язання спорів;</w:t>
      </w:r>
    </w:p>
    <w:p w:rsidR="00E36B05" w:rsidRPr="00CA7BEE" w:rsidRDefault="00E36B05" w:rsidP="00FE7644">
      <w:pPr>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lang w:val="uk-UA"/>
        </w:rPr>
        <w:t>– правопорушник звільняється від господарської відповідальності, якщо доведе, що на перешкоді належному виконанню його зобов’язань стояли надзвичайні й незворотні обставини. Щодо останнього пункту законодавчо передбачено важливе уточнення, що не можуть вважатись такими обставинами, зокрема: порушення своїх зобов’язань контрагентами правопорушника, відсутність на ринку потрібних для виконання зобов’я</w:t>
      </w:r>
      <w:bookmarkStart w:id="0" w:name="_GoBack"/>
      <w:bookmarkEnd w:id="0"/>
      <w:r w:rsidRPr="00CA7BEE">
        <w:rPr>
          <w:rFonts w:ascii="Times New Roman" w:eastAsia="TimesNewRomanPSMT" w:hAnsi="Times New Roman"/>
          <w:lang w:val="uk-UA"/>
        </w:rPr>
        <w:t>зання товарів, брак у боржника необхідних коштів. Розглядаючи підстави господарсько-правової відповідальності у широкому сенсі, варто відзначити два сформовані у теорії господарського права погляди. Відповідно до концепції В. С. Щербини, є дві підстави господарсько-правової відповідальності: юридична і фактична [1, c. 199].</w:t>
      </w:r>
    </w:p>
    <w:p w:rsidR="00E36B05" w:rsidRPr="00CA7BEE" w:rsidRDefault="00E36B05" w:rsidP="00FE7644">
      <w:pPr>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lang w:val="uk-UA"/>
        </w:rPr>
        <w:t>Під юридичною підставою розуміють правовий документ, що характеризує певну поведінку суб’єкта господарювання як протиправну і передбачає за неї форму і розмір відповідальності, а саме: закон і договір. Фактичною підставою автор пропонує вважати життєві ситуації, що характеризуються законом або договором як неправомірні, тобто – господарське правопорушення.</w:t>
      </w:r>
    </w:p>
    <w:p w:rsidR="00E36B05" w:rsidRPr="00CA7BEE" w:rsidRDefault="00E36B05" w:rsidP="00FE7644">
      <w:pPr>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lang w:val="uk-UA"/>
        </w:rPr>
        <w:t>З іншого боку, Л. А. Жук пропонує віднести до підстав господарсько-правової відповідальності такі категорії. Перша – нормативна, тобто сукупність норм права про відповідальність суб’єктів господарських відносин. Другою правовою підставою є господарська правосуб’єктність правопорушника (боржника) і потерпілого (кредитора). Сторонами правовідносин щодо застосування відповідальності цього виду можуть</w:t>
      </w:r>
      <w:r>
        <w:rPr>
          <w:rFonts w:ascii="Times New Roman" w:eastAsia="TimesNewRomanPSMT" w:hAnsi="Times New Roman"/>
          <w:lang w:val="uk-UA"/>
        </w:rPr>
        <w:t xml:space="preserve"> </w:t>
      </w:r>
      <w:r w:rsidRPr="00CA7BEE">
        <w:rPr>
          <w:rFonts w:ascii="Times New Roman" w:eastAsia="TimesNewRomanPSMT" w:hAnsi="Times New Roman"/>
          <w:lang w:val="uk-UA"/>
        </w:rPr>
        <w:t>бути підприємства, установи, організації, інші юридичні особи незалежно від форми власності майна, організаційно-правових форм, тобто особи, які мають право звертатися до господарського суду за захистом своїх порушених або оспорюваних прав та охоронюваних законом інтересів. Третя підстава – юридико-фактична, цепротиправні дії або бездіяльність особи – господарського правопорушника, що порушують права і законні інтереси потерпілої особи (кредитора) чи</w:t>
      </w:r>
      <w:r>
        <w:rPr>
          <w:rFonts w:ascii="Times New Roman" w:eastAsia="TimesNewRomanPSMT" w:hAnsi="Times New Roman"/>
          <w:lang w:val="uk-UA"/>
        </w:rPr>
        <w:t xml:space="preserve"> </w:t>
      </w:r>
      <w:r w:rsidRPr="00CA7BEE">
        <w:rPr>
          <w:rFonts w:ascii="Times New Roman" w:eastAsia="TimesNewRomanPSMT" w:hAnsi="Times New Roman"/>
          <w:lang w:val="uk-UA"/>
        </w:rPr>
        <w:t>заважають їх реалізації. Порівнюючи ці концепції, неважко помітити, що основною різницею між ними є наявність у</w:t>
      </w:r>
      <w:r>
        <w:rPr>
          <w:rFonts w:ascii="Times New Roman" w:eastAsia="TimesNewRomanPSMT" w:hAnsi="Times New Roman"/>
          <w:lang w:val="uk-UA"/>
        </w:rPr>
        <w:t xml:space="preserve"> </w:t>
      </w:r>
      <w:r w:rsidRPr="00CA7BEE">
        <w:rPr>
          <w:rFonts w:ascii="Times New Roman" w:eastAsia="TimesNewRomanPSMT" w:hAnsi="Times New Roman"/>
          <w:lang w:val="uk-UA"/>
        </w:rPr>
        <w:t>останній такої підстави, як господарська правосуб’єктність учасників господарських відносин. Доречним буде проаналізувати доцільність існування такої підстави.</w:t>
      </w:r>
    </w:p>
    <w:p w:rsidR="00E36B05" w:rsidRPr="00CA7BEE" w:rsidRDefault="00E36B05" w:rsidP="00FE7644">
      <w:pPr>
        <w:autoSpaceDE w:val="0"/>
        <w:autoSpaceDN w:val="0"/>
        <w:adjustRightInd w:val="0"/>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lang w:val="uk-UA"/>
        </w:rPr>
        <w:t>Господарська правосуб’єктність – визнана</w:t>
      </w:r>
      <w:r>
        <w:rPr>
          <w:rFonts w:ascii="Times New Roman" w:eastAsia="TimesNewRomanPSMT" w:hAnsi="Times New Roman"/>
          <w:lang w:val="uk-UA"/>
        </w:rPr>
        <w:t xml:space="preserve"> </w:t>
      </w:r>
      <w:r w:rsidRPr="00CA7BEE">
        <w:rPr>
          <w:rFonts w:ascii="Times New Roman" w:eastAsia="TimesNewRomanPSMT" w:hAnsi="Times New Roman"/>
          <w:lang w:val="uk-UA"/>
        </w:rPr>
        <w:t>державою за певним суб’єктом господарювання</w:t>
      </w:r>
      <w:r>
        <w:rPr>
          <w:rFonts w:ascii="Times New Roman" w:eastAsia="TimesNewRomanPSMT" w:hAnsi="Times New Roman"/>
          <w:lang w:val="uk-UA"/>
        </w:rPr>
        <w:t xml:space="preserve"> </w:t>
      </w:r>
      <w:r w:rsidRPr="00CA7BEE">
        <w:rPr>
          <w:rFonts w:ascii="Times New Roman" w:eastAsia="TimesNewRomanPSMT" w:hAnsi="Times New Roman"/>
          <w:lang w:val="uk-UA"/>
        </w:rPr>
        <w:t>можливість бути суб’єктом прав (мати і здійснювати господарські права та обов’язки, відповідати за їх належне виконання і мати юридичну</w:t>
      </w:r>
      <w:r>
        <w:rPr>
          <w:rFonts w:ascii="Times New Roman" w:eastAsia="TimesNewRomanPSMT" w:hAnsi="Times New Roman"/>
          <w:lang w:val="uk-UA"/>
        </w:rPr>
        <w:t xml:space="preserve"> </w:t>
      </w:r>
      <w:r w:rsidRPr="00CA7BEE">
        <w:rPr>
          <w:rFonts w:ascii="Times New Roman" w:eastAsia="TimesNewRomanPSMT" w:hAnsi="Times New Roman"/>
          <w:lang w:val="uk-UA"/>
        </w:rPr>
        <w:t>можливість захищати свої права та законні інтереси від можливих порушень) [1, c. 104]. Очевидно, що ця характеристика в обов’язковому</w:t>
      </w:r>
      <w:r>
        <w:rPr>
          <w:rFonts w:ascii="Times New Roman" w:eastAsia="TimesNewRomanPSMT" w:hAnsi="Times New Roman"/>
          <w:lang w:val="uk-UA"/>
        </w:rPr>
        <w:t xml:space="preserve"> </w:t>
      </w:r>
      <w:r w:rsidRPr="00CA7BEE">
        <w:rPr>
          <w:rFonts w:ascii="Times New Roman" w:eastAsia="TimesNewRomanPSMT" w:hAnsi="Times New Roman"/>
          <w:lang w:val="uk-UA"/>
        </w:rPr>
        <w:t>порядку має передувати настанню господарської</w:t>
      </w:r>
      <w:r>
        <w:rPr>
          <w:rFonts w:ascii="Times New Roman" w:eastAsia="TimesNewRomanPSMT" w:hAnsi="Times New Roman"/>
          <w:lang w:val="uk-UA"/>
        </w:rPr>
        <w:t xml:space="preserve"> </w:t>
      </w:r>
      <w:r w:rsidRPr="00CA7BEE">
        <w:rPr>
          <w:rFonts w:ascii="Times New Roman" w:eastAsia="TimesNewRomanPSMT" w:hAnsi="Times New Roman"/>
          <w:lang w:val="uk-UA"/>
        </w:rPr>
        <w:t>відповідальності. Проте виникає запитання: хіба</w:t>
      </w:r>
      <w:r>
        <w:rPr>
          <w:rFonts w:ascii="Times New Roman" w:eastAsia="TimesNewRomanPSMT" w:hAnsi="Times New Roman"/>
          <w:lang w:val="uk-UA"/>
        </w:rPr>
        <w:t xml:space="preserve"> </w:t>
      </w:r>
      <w:r w:rsidRPr="00CA7BEE">
        <w:rPr>
          <w:rFonts w:ascii="Times New Roman" w:eastAsia="TimesNewRomanPSMT" w:hAnsi="Times New Roman"/>
          <w:lang w:val="uk-UA"/>
        </w:rPr>
        <w:t>може йти мова про будь-які господарські правовідносини, якщо хоча б одна зі сторін не наділена право суб’єктністю? Окрім того, абсолютним</w:t>
      </w:r>
      <w:r>
        <w:rPr>
          <w:rFonts w:ascii="Times New Roman" w:eastAsia="TimesNewRomanPSMT" w:hAnsi="Times New Roman"/>
          <w:lang w:val="uk-UA"/>
        </w:rPr>
        <w:t xml:space="preserve"> </w:t>
      </w:r>
      <w:r w:rsidRPr="00CA7BEE">
        <w:rPr>
          <w:rFonts w:ascii="Times New Roman" w:eastAsia="TimesNewRomanPSMT" w:hAnsi="Times New Roman"/>
          <w:lang w:val="uk-UA"/>
        </w:rPr>
        <w:t>фактом є те, що більшість науковців відносить</w:t>
      </w:r>
      <w:r>
        <w:rPr>
          <w:rFonts w:ascii="Times New Roman" w:eastAsia="TimesNewRomanPSMT" w:hAnsi="Times New Roman"/>
          <w:lang w:val="uk-UA"/>
        </w:rPr>
        <w:t xml:space="preserve"> </w:t>
      </w:r>
      <w:r w:rsidRPr="00CA7BEE">
        <w:rPr>
          <w:rFonts w:ascii="Times New Roman" w:eastAsia="TimesNewRomanPSMT" w:hAnsi="Times New Roman"/>
          <w:lang w:val="uk-UA"/>
        </w:rPr>
        <w:t>цю характеристику до обов’язкових ознак, якими має бути наділений суб’єкт господарювання.</w:t>
      </w:r>
    </w:p>
    <w:p w:rsidR="00E36B05" w:rsidRPr="00CA7BEE" w:rsidRDefault="00E36B05" w:rsidP="00FE7644">
      <w:pPr>
        <w:autoSpaceDE w:val="0"/>
        <w:autoSpaceDN w:val="0"/>
        <w:adjustRightInd w:val="0"/>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lang w:val="uk-UA"/>
        </w:rPr>
        <w:t>Відтак, доходимо висновку, що господарська</w:t>
      </w:r>
      <w:r>
        <w:rPr>
          <w:rFonts w:ascii="Times New Roman" w:eastAsia="TimesNewRomanPSMT" w:hAnsi="Times New Roman"/>
          <w:lang w:val="uk-UA"/>
        </w:rPr>
        <w:t xml:space="preserve"> </w:t>
      </w:r>
      <w:r w:rsidRPr="00CA7BEE">
        <w:rPr>
          <w:rFonts w:ascii="Times New Roman" w:eastAsia="TimesNewRomanPSMT" w:hAnsi="Times New Roman"/>
          <w:lang w:val="uk-UA"/>
        </w:rPr>
        <w:t>право</w:t>
      </w:r>
      <w:r>
        <w:rPr>
          <w:rFonts w:ascii="Times New Roman" w:eastAsia="TimesNewRomanPSMT" w:hAnsi="Times New Roman"/>
          <w:lang w:val="uk-UA"/>
        </w:rPr>
        <w:t xml:space="preserve"> </w:t>
      </w:r>
      <w:r w:rsidRPr="00CA7BEE">
        <w:rPr>
          <w:rFonts w:ascii="Times New Roman" w:eastAsia="TimesNewRomanPSMT" w:hAnsi="Times New Roman"/>
          <w:lang w:val="uk-UA"/>
        </w:rPr>
        <w:t>суб’єктність не може бути включена до переліку обов’язкових підстав господарської відповідальності, оскільки вона є необхідною передумовою ще на початковій стадії господарських</w:t>
      </w:r>
      <w:r>
        <w:rPr>
          <w:rFonts w:ascii="Times New Roman" w:eastAsia="TimesNewRomanPSMT" w:hAnsi="Times New Roman"/>
          <w:lang w:val="uk-UA"/>
        </w:rPr>
        <w:t xml:space="preserve"> </w:t>
      </w:r>
      <w:r w:rsidRPr="00CA7BEE">
        <w:rPr>
          <w:rFonts w:ascii="Times New Roman" w:eastAsia="TimesNewRomanPSMT" w:hAnsi="Times New Roman"/>
          <w:lang w:val="uk-UA"/>
        </w:rPr>
        <w:t>правовідносин. Натомість, з нашого погляду, необхідно ввести процесуальну підставу. Враховуючи таку особливість господарської відповідальності, як</w:t>
      </w:r>
      <w:r>
        <w:rPr>
          <w:rFonts w:ascii="Times New Roman" w:eastAsia="TimesNewRomanPSMT" w:hAnsi="Times New Roman"/>
          <w:lang w:val="uk-UA"/>
        </w:rPr>
        <w:t xml:space="preserve"> </w:t>
      </w:r>
      <w:r w:rsidRPr="00CA7BEE">
        <w:rPr>
          <w:rFonts w:ascii="Times New Roman" w:eastAsia="TimesNewRomanPSMT" w:hAnsi="Times New Roman"/>
          <w:lang w:val="uk-UA"/>
        </w:rPr>
        <w:t>можливість її реалізації без втручання державних або судових органів, доцільним буде залучити до необхідних підстав обов’язкову наявність</w:t>
      </w:r>
      <w:r>
        <w:rPr>
          <w:rFonts w:ascii="Times New Roman" w:eastAsia="TimesNewRomanPSMT" w:hAnsi="Times New Roman"/>
          <w:lang w:val="uk-UA"/>
        </w:rPr>
        <w:t xml:space="preserve"> </w:t>
      </w:r>
      <w:r w:rsidRPr="00CA7BEE">
        <w:rPr>
          <w:rFonts w:ascii="Times New Roman" w:eastAsia="TimesNewRomanPSMT" w:hAnsi="Times New Roman"/>
          <w:lang w:val="uk-UA"/>
        </w:rPr>
        <w:t>процесуальних норм, які б передбачали процедуру реалізації господарсько-правової відповідальності. Отже, на наш погляд, можна запропонувати такий перелік підстав господарської відповідальності.</w:t>
      </w:r>
    </w:p>
    <w:p w:rsidR="00E36B05" w:rsidRPr="00CA7BEE" w:rsidRDefault="00E36B05" w:rsidP="00FE7644">
      <w:pPr>
        <w:autoSpaceDE w:val="0"/>
        <w:autoSpaceDN w:val="0"/>
        <w:adjustRightInd w:val="0"/>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i/>
          <w:iCs/>
          <w:lang w:val="uk-UA"/>
        </w:rPr>
        <w:t xml:space="preserve">Нормативні підстави – </w:t>
      </w:r>
      <w:r w:rsidRPr="00CA7BEE">
        <w:rPr>
          <w:rFonts w:ascii="Times New Roman" w:eastAsia="TimesNewRomanPSMT" w:hAnsi="Times New Roman"/>
          <w:lang w:val="uk-UA"/>
        </w:rPr>
        <w:t>це наявні нормативно-правові акти або передбачені ними договори, які</w:t>
      </w:r>
      <w:r>
        <w:rPr>
          <w:rFonts w:ascii="Times New Roman" w:eastAsia="TimesNewRomanPSMT" w:hAnsi="Times New Roman"/>
          <w:lang w:val="uk-UA"/>
        </w:rPr>
        <w:t xml:space="preserve"> </w:t>
      </w:r>
      <w:r w:rsidRPr="00CA7BEE">
        <w:rPr>
          <w:rFonts w:ascii="Times New Roman" w:eastAsia="TimesNewRomanPSMT" w:hAnsi="Times New Roman"/>
          <w:lang w:val="uk-UA"/>
        </w:rPr>
        <w:t>є законною основою для існування господарських відносин взагалі та господарської відповідальності зокрема.</w:t>
      </w:r>
    </w:p>
    <w:p w:rsidR="00E36B05" w:rsidRPr="00CA7BEE" w:rsidRDefault="00E36B05" w:rsidP="00FE7644">
      <w:pPr>
        <w:autoSpaceDE w:val="0"/>
        <w:autoSpaceDN w:val="0"/>
        <w:adjustRightInd w:val="0"/>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i/>
          <w:iCs/>
          <w:lang w:val="uk-UA"/>
        </w:rPr>
        <w:t xml:space="preserve">Процесуальні підстави – </w:t>
      </w:r>
      <w:r w:rsidRPr="00CA7BEE">
        <w:rPr>
          <w:rFonts w:ascii="Times New Roman" w:eastAsia="TimesNewRomanPSMT" w:hAnsi="Times New Roman"/>
          <w:lang w:val="uk-UA"/>
        </w:rPr>
        <w:t>це передбачені законом або договором положення, які містять</w:t>
      </w:r>
      <w:r>
        <w:rPr>
          <w:rFonts w:ascii="Times New Roman" w:eastAsia="TimesNewRomanPSMT" w:hAnsi="Times New Roman"/>
          <w:lang w:val="uk-UA"/>
        </w:rPr>
        <w:t xml:space="preserve"> </w:t>
      </w:r>
      <w:r w:rsidRPr="00CA7BEE">
        <w:rPr>
          <w:rFonts w:ascii="Times New Roman" w:eastAsia="TimesNewRomanPSMT" w:hAnsi="Times New Roman"/>
          <w:lang w:val="uk-UA"/>
        </w:rPr>
        <w:t>процесуальний порядок реалізації господарської</w:t>
      </w:r>
      <w:r>
        <w:rPr>
          <w:rFonts w:ascii="Times New Roman" w:eastAsia="TimesNewRomanPSMT" w:hAnsi="Times New Roman"/>
          <w:lang w:val="uk-UA"/>
        </w:rPr>
        <w:t xml:space="preserve"> </w:t>
      </w:r>
      <w:r w:rsidRPr="00CA7BEE">
        <w:rPr>
          <w:rFonts w:ascii="Times New Roman" w:eastAsia="TimesNewRomanPSMT" w:hAnsi="Times New Roman"/>
          <w:lang w:val="uk-UA"/>
        </w:rPr>
        <w:t>відповідальності.</w:t>
      </w:r>
    </w:p>
    <w:p w:rsidR="00E36B05" w:rsidRPr="00CA7BEE" w:rsidRDefault="00E36B05" w:rsidP="00FE7644">
      <w:pPr>
        <w:autoSpaceDE w:val="0"/>
        <w:autoSpaceDN w:val="0"/>
        <w:adjustRightInd w:val="0"/>
        <w:spacing w:after="0" w:line="360" w:lineRule="auto"/>
        <w:ind w:firstLine="709"/>
        <w:jc w:val="both"/>
        <w:rPr>
          <w:rFonts w:ascii="Times New Roman" w:eastAsia="TimesNewRomanPSMT" w:hAnsi="Times New Roman"/>
          <w:lang w:val="uk-UA"/>
        </w:rPr>
      </w:pPr>
      <w:r w:rsidRPr="00CA7BEE">
        <w:rPr>
          <w:rFonts w:ascii="Times New Roman" w:eastAsia="TimesNewRomanPSMT" w:hAnsi="Times New Roman"/>
          <w:i/>
          <w:iCs/>
          <w:lang w:val="uk-UA"/>
        </w:rPr>
        <w:t xml:space="preserve">Фактичні підстави </w:t>
      </w:r>
      <w:r w:rsidRPr="00CA7BEE">
        <w:rPr>
          <w:rFonts w:ascii="Times New Roman" w:eastAsia="TimesNewRomanPSMT" w:hAnsi="Times New Roman"/>
          <w:lang w:val="uk-UA"/>
        </w:rPr>
        <w:t>– це життєві обставини, які</w:t>
      </w:r>
      <w:r>
        <w:rPr>
          <w:rFonts w:ascii="Times New Roman" w:eastAsia="TimesNewRomanPSMT" w:hAnsi="Times New Roman"/>
          <w:lang w:val="uk-UA"/>
        </w:rPr>
        <w:t xml:space="preserve"> </w:t>
      </w:r>
      <w:r w:rsidRPr="00CA7BEE">
        <w:rPr>
          <w:rFonts w:ascii="Times New Roman" w:eastAsia="TimesNewRomanPSMT" w:hAnsi="Times New Roman"/>
          <w:lang w:val="uk-UA"/>
        </w:rPr>
        <w:t>відповідно до закону або договору мають неправомірний характер, які власне і становлять у своїй</w:t>
      </w:r>
      <w:r>
        <w:rPr>
          <w:rFonts w:ascii="Times New Roman" w:eastAsia="TimesNewRomanPSMT" w:hAnsi="Times New Roman"/>
          <w:lang w:val="uk-UA"/>
        </w:rPr>
        <w:t xml:space="preserve"> </w:t>
      </w:r>
      <w:r w:rsidRPr="00CA7BEE">
        <w:rPr>
          <w:rFonts w:ascii="Times New Roman" w:eastAsia="TimesNewRomanPSMT" w:hAnsi="Times New Roman"/>
          <w:lang w:val="uk-UA"/>
        </w:rPr>
        <w:t>сукупності зміст господарського правопорушення.</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Наступний крок – доцільно проаналізувати поняття господарського правопорушення, яке на сьогодні жодним чином не закріплене на законодавчому рівні, що створює додаткові проблеми при кваліфікації його на практиці. Тому вважаємо за необхідне запропонувати свою дефініцію цього поняття на основі сучасних теоретичних досягнень.</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Зокрема, як випливає з класичного джерела теорії держави і права, правопорушення – це суспільно небезпечне або шкідливо неправомірне (протиправне) винне діяння (дія або бездіяльність) деліктоздатної особи, яке спричиняє юридичну відповідальність [2, c. 421–425]. Серед ключових ознак неважко помітити такі риси: неправомірний характер, вина та делікто</w:t>
      </w:r>
      <w:r>
        <w:rPr>
          <w:rFonts w:ascii="Times New Roman" w:hAnsi="Times New Roman"/>
          <w:lang w:val="uk-UA"/>
        </w:rPr>
        <w:t xml:space="preserve"> </w:t>
      </w:r>
      <w:r w:rsidRPr="00CA7BEE">
        <w:rPr>
          <w:rFonts w:ascii="Times New Roman" w:hAnsi="Times New Roman"/>
          <w:lang w:val="uk-UA"/>
        </w:rPr>
        <w:t>здатність</w:t>
      </w:r>
      <w:r>
        <w:rPr>
          <w:rFonts w:ascii="Times New Roman" w:hAnsi="Times New Roman"/>
          <w:lang w:val="uk-UA"/>
        </w:rPr>
        <w:t xml:space="preserve"> </w:t>
      </w:r>
      <w:r w:rsidRPr="00CA7BEE">
        <w:rPr>
          <w:rFonts w:ascii="Times New Roman" w:hAnsi="Times New Roman"/>
          <w:lang w:val="uk-UA"/>
        </w:rPr>
        <w:t>особи правопорушника, становить суспільну шкоду або небезпеку, виражається у протиправності діяння.</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Далі розглянемо визначення, яке пропонують теоретики господарського права, зокрема Л. А. Жук: господарське правопорушення – протиправна дія або бездіяльність суб’єкта господарських відносин, яка не відповідає вимогам</w:t>
      </w:r>
      <w:r>
        <w:rPr>
          <w:rFonts w:ascii="Times New Roman" w:hAnsi="Times New Roman"/>
          <w:lang w:val="uk-UA"/>
        </w:rPr>
        <w:t xml:space="preserve"> </w:t>
      </w:r>
      <w:r w:rsidRPr="00CA7BEE">
        <w:rPr>
          <w:rFonts w:ascii="Times New Roman" w:hAnsi="Times New Roman"/>
          <w:lang w:val="uk-UA"/>
        </w:rPr>
        <w:t>норм господарського права, не узгоджується з юридичними обов’язками зазначеного суб’єкта,порушує суб’єктивні права іншого учасника відносин або третіх осіб [3, c. 386].</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Для чіткого тлумачення терміна «господарське правопорушення» варто виокремити такі характерні ознаки: нормативно передбачене порушення господарського зобов’язання однією зі сторін; наявність шкоди, що може бути виражена у грошовому еквіваленті; відсутність вини як обов’язкового фактора. При цьому необхідно розмежовувати поняття господарського правопорушення, яке передбачає господарську відповідальність, і правопорушення у сфері господарської діяльності (злочин), що спричиняє кримінальну відповідальність.</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Враховуючи викладене вище, пропонуємо таке визначення.</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Господарське правопорушення – це передбачене законом або договором протиправне діяння (дія або бездіяльність), вчинене суб’єктом господарювання в процесі здійснення ним господарської діяльності, яке тягне за собою господарську відповідальність.</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З нашого погляду, дефініцію господарського правопорушення має бути закріплено на законодавчому рівні. Це полегшить практичне застосування господарської відповідальності та допоможе уникнути використання «подвійних стандартів» під час ідентифікації господарських правопорушень.</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Питання складу господарського правопорушення не є однозначним і залежить від форми відповідальності. Розрізняють повний і обмежений склад. Повний склад господарського правопорушення має місце за такої форми господарської відповідальності як, наприклад, відшкодування збитків, де необхідними елементами складу господарського правопорушенняє:</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 протиправна поведінка – порушення суб’єктів господарювання положень, передбачених законом або договором;</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 наявність негативних наслідків у вигляді збитків – пряма (знищення, пошкодження майна) або непряма (неотриманий дохід) шкода, завдана учасникові господарських відносин іншим учасником-правопорушником;</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 причинний зв’язок між протиправною поведінкою і збитками – наявність прямої залежності між протиправними діями правопорушника і тими збитками, яких зазнав його контрагент;</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 xml:space="preserve">– вина – за умов господарського правопорушення під виною розуміють (окрім прямого умислу): </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а) правопорушник не виконав усіх дій щодо недопущення здійснення правопорушення;</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б) правопорушник не використав можливості діяти правомірно за умови, що така можливість існувала.</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Під обмеженим складом господарського правопорушення розуміють відсутність одного або кількох з вище перелічених елементів.</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Отже, враховуючи викладені вище обставини, доходимо таких висновків. Серед підстав господарсько-правової відповідальності можна виокремити нормативні, процесуальні та фактичні підстави. До фактичної підстави належить господарське правопорушення, визначення якого запропоновано у цій статті. На нашу думку, доцільно було б закріпити його на законодавчому рівні.</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Господарське правопорушення складається з таких елементів: протиправна поведінка, наявність негативних наслідків у вигляді збитків, причинний зв’язок між протиправною поведінкою і збитками, вина.</w:t>
      </w:r>
    </w:p>
    <w:p w:rsidR="00E36B05" w:rsidRPr="00CA7BEE" w:rsidRDefault="00E36B05" w:rsidP="00FE7644">
      <w:pPr>
        <w:spacing w:after="0" w:line="360" w:lineRule="auto"/>
        <w:ind w:firstLine="709"/>
        <w:jc w:val="both"/>
        <w:rPr>
          <w:rFonts w:ascii="Times New Roman" w:hAnsi="Times New Roman"/>
          <w:lang w:val="uk-UA"/>
        </w:rPr>
      </w:pPr>
    </w:p>
    <w:p w:rsidR="00E36B05" w:rsidRPr="00CA7BEE" w:rsidRDefault="00E36B05" w:rsidP="00CC7ADC">
      <w:pPr>
        <w:spacing w:after="0" w:line="360" w:lineRule="auto"/>
        <w:ind w:firstLine="709"/>
        <w:rPr>
          <w:rFonts w:ascii="Times New Roman" w:hAnsi="Times New Roman"/>
          <w:b/>
          <w:lang w:val="uk-UA"/>
        </w:rPr>
      </w:pPr>
      <w:r w:rsidRPr="00CA7BEE">
        <w:rPr>
          <w:rFonts w:ascii="Times New Roman" w:hAnsi="Times New Roman"/>
          <w:b/>
          <w:lang w:val="uk-UA"/>
        </w:rPr>
        <w:t>Література:</w:t>
      </w:r>
    </w:p>
    <w:p w:rsidR="00E36B05" w:rsidRPr="00CA7BEE" w:rsidRDefault="00E36B05" w:rsidP="00FE7644">
      <w:pPr>
        <w:spacing w:after="0" w:line="360" w:lineRule="auto"/>
        <w:ind w:firstLine="709"/>
        <w:jc w:val="center"/>
        <w:rPr>
          <w:rFonts w:ascii="Times New Roman" w:hAnsi="Times New Roman"/>
          <w:b/>
          <w:lang w:val="uk-UA"/>
        </w:rPr>
      </w:pP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1. Господарський Кодекс України від 16 березня 2003 року</w:t>
      </w:r>
      <w:r>
        <w:rPr>
          <w:rFonts w:ascii="Times New Roman" w:hAnsi="Times New Roman"/>
          <w:lang w:val="uk-UA"/>
        </w:rPr>
        <w:t xml:space="preserve"> </w:t>
      </w:r>
      <w:r w:rsidRPr="00CA7BEE">
        <w:rPr>
          <w:rFonts w:ascii="Times New Roman" w:hAnsi="Times New Roman"/>
          <w:lang w:val="uk-UA"/>
        </w:rPr>
        <w:t>№ 436-IV // Відомості Верховної Ради України. – 2003. –№ 18. – Ст. 144.</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1. Господарське право : Практикум / В. С. Щербина,Г. В. Пронська, О. М. Вінник та інші ; [за заг. ред. В. С. Щербини]. – К. : Юрінком Інтер, 2001. – С. 199.</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2. Скакун О. Ф. Теорія держави і права : підручник / О. Ф. Скакун ; [переклад з рос.]. – Харків, 2001.</w:t>
      </w:r>
    </w:p>
    <w:p w:rsidR="00E36B05" w:rsidRPr="00CA7BEE" w:rsidRDefault="00E36B05" w:rsidP="00FE7644">
      <w:pPr>
        <w:spacing w:after="0" w:line="360" w:lineRule="auto"/>
        <w:ind w:firstLine="709"/>
        <w:jc w:val="both"/>
        <w:rPr>
          <w:rFonts w:ascii="Times New Roman" w:hAnsi="Times New Roman"/>
          <w:lang w:val="uk-UA"/>
        </w:rPr>
      </w:pPr>
      <w:r w:rsidRPr="00CA7BEE">
        <w:rPr>
          <w:rFonts w:ascii="Times New Roman" w:hAnsi="Times New Roman"/>
          <w:lang w:val="uk-UA"/>
        </w:rPr>
        <w:t>3. Господарське право : навчальний посібник / Л. А. Жук,І. Л. Жук, О. М. Неживець. – К., 2003.</w:t>
      </w:r>
    </w:p>
    <w:p w:rsidR="00E36B05" w:rsidRPr="00CA7BEE" w:rsidRDefault="00E36B05" w:rsidP="00FE7644">
      <w:pPr>
        <w:spacing w:after="0" w:line="360" w:lineRule="auto"/>
        <w:ind w:firstLine="709"/>
        <w:jc w:val="both"/>
        <w:rPr>
          <w:lang w:val="uk-UA"/>
        </w:rPr>
      </w:pPr>
    </w:p>
    <w:sectPr w:rsidR="00E36B05" w:rsidRPr="00CA7BEE" w:rsidSect="00FE7644">
      <w:pgSz w:w="11906" w:h="16838"/>
      <w:pgMar w:top="1134" w:right="1134" w:bottom="1134"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6198F"/>
    <w:multiLevelType w:val="multilevel"/>
    <w:tmpl w:val="36F85996"/>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033F"/>
    <w:rsid w:val="00135110"/>
    <w:rsid w:val="002661C3"/>
    <w:rsid w:val="003A2A9B"/>
    <w:rsid w:val="003E5272"/>
    <w:rsid w:val="00600825"/>
    <w:rsid w:val="00764C09"/>
    <w:rsid w:val="00776800"/>
    <w:rsid w:val="00AA385E"/>
    <w:rsid w:val="00AD680B"/>
    <w:rsid w:val="00B03F34"/>
    <w:rsid w:val="00B15D79"/>
    <w:rsid w:val="00BF27E1"/>
    <w:rsid w:val="00CA7BEE"/>
    <w:rsid w:val="00CC7ADC"/>
    <w:rsid w:val="00E36B05"/>
    <w:rsid w:val="00EF5573"/>
    <w:rsid w:val="00F4033F"/>
    <w:rsid w:val="00F41260"/>
    <w:rsid w:val="00FD31FB"/>
    <w:rsid w:val="00FE76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AA385E"/>
    <w:pPr>
      <w:spacing w:after="120"/>
    </w:pPr>
    <w:rPr>
      <w:sz w:val="28"/>
      <w:szCs w:val="28"/>
      <w:lang w:val="ru-RU"/>
    </w:rPr>
  </w:style>
  <w:style w:type="paragraph" w:styleId="Heading1">
    <w:name w:val="heading 1"/>
    <w:basedOn w:val="Normal"/>
    <w:next w:val="Normal"/>
    <w:link w:val="Heading1Char"/>
    <w:uiPriority w:val="99"/>
    <w:qFormat/>
    <w:rsid w:val="00AA385E"/>
    <w:pPr>
      <w:keepNext/>
      <w:numPr>
        <w:numId w:val="9"/>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AA385E"/>
    <w:pPr>
      <w:keepNext/>
      <w:numPr>
        <w:ilvl w:val="1"/>
        <w:numId w:val="9"/>
      </w:numPr>
      <w:spacing w:before="240" w:after="60"/>
      <w:outlineLvl w:val="1"/>
    </w:pPr>
    <w:rPr>
      <w:rFonts w:ascii="Cambria" w:eastAsia="Times New Roman" w:hAnsi="Cambria"/>
      <w:b/>
      <w:bCs/>
      <w:i/>
      <w:iCs/>
    </w:rPr>
  </w:style>
  <w:style w:type="paragraph" w:styleId="Heading3">
    <w:name w:val="heading 3"/>
    <w:basedOn w:val="Normal"/>
    <w:next w:val="Normal"/>
    <w:link w:val="Heading3Char"/>
    <w:uiPriority w:val="99"/>
    <w:qFormat/>
    <w:rsid w:val="00AA385E"/>
    <w:pPr>
      <w:keepNext/>
      <w:numPr>
        <w:ilvl w:val="2"/>
        <w:numId w:val="9"/>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AA385E"/>
    <w:pPr>
      <w:keepNext/>
      <w:numPr>
        <w:ilvl w:val="3"/>
        <w:numId w:val="9"/>
      </w:numPr>
      <w:spacing w:before="240" w:after="60"/>
      <w:outlineLvl w:val="3"/>
    </w:pPr>
    <w:rPr>
      <w:b/>
      <w:bCs/>
    </w:rPr>
  </w:style>
  <w:style w:type="paragraph" w:styleId="Heading5">
    <w:name w:val="heading 5"/>
    <w:basedOn w:val="Normal"/>
    <w:next w:val="Normal"/>
    <w:link w:val="Heading5Char"/>
    <w:uiPriority w:val="99"/>
    <w:qFormat/>
    <w:rsid w:val="00AA385E"/>
    <w:pPr>
      <w:numPr>
        <w:ilvl w:val="4"/>
        <w:numId w:val="9"/>
      </w:numPr>
      <w:spacing w:before="240" w:after="60"/>
      <w:outlineLvl w:val="4"/>
    </w:pPr>
    <w:rPr>
      <w:b/>
      <w:bCs/>
      <w:i/>
      <w:iCs/>
      <w:sz w:val="26"/>
      <w:szCs w:val="26"/>
    </w:rPr>
  </w:style>
  <w:style w:type="paragraph" w:styleId="Heading6">
    <w:name w:val="heading 6"/>
    <w:basedOn w:val="Normal"/>
    <w:next w:val="Normal"/>
    <w:link w:val="Heading6Char"/>
    <w:uiPriority w:val="99"/>
    <w:qFormat/>
    <w:rsid w:val="00AA385E"/>
    <w:pPr>
      <w:numPr>
        <w:ilvl w:val="5"/>
        <w:numId w:val="9"/>
      </w:numPr>
      <w:spacing w:before="240" w:after="60"/>
      <w:outlineLvl w:val="5"/>
    </w:pPr>
    <w:rPr>
      <w:b/>
      <w:bCs/>
      <w:sz w:val="22"/>
      <w:szCs w:val="22"/>
    </w:rPr>
  </w:style>
  <w:style w:type="paragraph" w:styleId="Heading7">
    <w:name w:val="heading 7"/>
    <w:basedOn w:val="Normal"/>
    <w:next w:val="Normal"/>
    <w:link w:val="Heading7Char"/>
    <w:uiPriority w:val="99"/>
    <w:qFormat/>
    <w:rsid w:val="00AA385E"/>
    <w:pPr>
      <w:numPr>
        <w:ilvl w:val="6"/>
        <w:numId w:val="9"/>
      </w:numPr>
      <w:spacing w:before="240" w:after="60"/>
      <w:outlineLvl w:val="6"/>
    </w:pPr>
  </w:style>
  <w:style w:type="paragraph" w:styleId="Heading8">
    <w:name w:val="heading 8"/>
    <w:basedOn w:val="Normal"/>
    <w:next w:val="Normal"/>
    <w:link w:val="Heading8Char"/>
    <w:uiPriority w:val="99"/>
    <w:qFormat/>
    <w:rsid w:val="00AA385E"/>
    <w:pPr>
      <w:numPr>
        <w:ilvl w:val="7"/>
        <w:numId w:val="9"/>
      </w:numPr>
      <w:spacing w:before="240" w:after="60"/>
      <w:outlineLvl w:val="7"/>
    </w:pPr>
    <w:rPr>
      <w:i/>
      <w:iCs/>
    </w:rPr>
  </w:style>
  <w:style w:type="paragraph" w:styleId="Heading9">
    <w:name w:val="heading 9"/>
    <w:basedOn w:val="Normal"/>
    <w:next w:val="Normal"/>
    <w:link w:val="Heading9Char"/>
    <w:uiPriority w:val="99"/>
    <w:qFormat/>
    <w:rsid w:val="00AA385E"/>
    <w:pPr>
      <w:numPr>
        <w:ilvl w:val="8"/>
        <w:numId w:val="9"/>
      </w:numPr>
      <w:spacing w:before="240" w:after="60"/>
      <w:outlineLvl w:val="8"/>
    </w:pPr>
    <w:rPr>
      <w:rFonts w:ascii="Cambria" w:eastAsia="Times New Roman"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A385E"/>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AA385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AA385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AA385E"/>
    <w:rPr>
      <w:rFonts w:eastAsia="Times New Roman" w:cs="Times New Roman"/>
      <w:b/>
      <w:bCs/>
      <w:sz w:val="28"/>
      <w:szCs w:val="28"/>
    </w:rPr>
  </w:style>
  <w:style w:type="character" w:customStyle="1" w:styleId="Heading5Char">
    <w:name w:val="Heading 5 Char"/>
    <w:basedOn w:val="DefaultParagraphFont"/>
    <w:link w:val="Heading5"/>
    <w:uiPriority w:val="99"/>
    <w:semiHidden/>
    <w:locked/>
    <w:rsid w:val="00AA385E"/>
    <w:rPr>
      <w:rFonts w:eastAsia="Times New Roman" w:cs="Times New Roman"/>
      <w:b/>
      <w:bCs/>
      <w:i/>
      <w:iCs/>
      <w:sz w:val="26"/>
      <w:szCs w:val="26"/>
    </w:rPr>
  </w:style>
  <w:style w:type="character" w:customStyle="1" w:styleId="Heading6Char">
    <w:name w:val="Heading 6 Char"/>
    <w:basedOn w:val="DefaultParagraphFont"/>
    <w:link w:val="Heading6"/>
    <w:uiPriority w:val="99"/>
    <w:semiHidden/>
    <w:locked/>
    <w:rsid w:val="00AA385E"/>
    <w:rPr>
      <w:rFonts w:eastAsia="Times New Roman" w:cs="Times New Roman"/>
      <w:b/>
      <w:bCs/>
    </w:rPr>
  </w:style>
  <w:style w:type="character" w:customStyle="1" w:styleId="Heading7Char">
    <w:name w:val="Heading 7 Char"/>
    <w:basedOn w:val="DefaultParagraphFont"/>
    <w:link w:val="Heading7"/>
    <w:uiPriority w:val="99"/>
    <w:semiHidden/>
    <w:locked/>
    <w:rsid w:val="00AA385E"/>
    <w:rPr>
      <w:rFonts w:eastAsia="Times New Roman" w:cs="Times New Roman"/>
      <w:sz w:val="24"/>
      <w:szCs w:val="24"/>
    </w:rPr>
  </w:style>
  <w:style w:type="character" w:customStyle="1" w:styleId="Heading8Char">
    <w:name w:val="Heading 8 Char"/>
    <w:basedOn w:val="DefaultParagraphFont"/>
    <w:link w:val="Heading8"/>
    <w:uiPriority w:val="99"/>
    <w:semiHidden/>
    <w:locked/>
    <w:rsid w:val="00AA385E"/>
    <w:rPr>
      <w:rFonts w:eastAsia="Times New Roman" w:cs="Times New Roman"/>
      <w:i/>
      <w:iCs/>
      <w:sz w:val="24"/>
      <w:szCs w:val="24"/>
    </w:rPr>
  </w:style>
  <w:style w:type="character" w:customStyle="1" w:styleId="Heading9Char">
    <w:name w:val="Heading 9 Char"/>
    <w:basedOn w:val="DefaultParagraphFont"/>
    <w:link w:val="Heading9"/>
    <w:uiPriority w:val="99"/>
    <w:semiHidden/>
    <w:locked/>
    <w:rsid w:val="00AA385E"/>
    <w:rPr>
      <w:rFonts w:ascii="Cambria" w:hAnsi="Cambria" w:cs="Times New Roman"/>
    </w:rPr>
  </w:style>
  <w:style w:type="paragraph" w:styleId="Title">
    <w:name w:val="Title"/>
    <w:basedOn w:val="Normal"/>
    <w:next w:val="Normal"/>
    <w:link w:val="TitleChar"/>
    <w:uiPriority w:val="99"/>
    <w:qFormat/>
    <w:rsid w:val="00AA385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AA385E"/>
    <w:rPr>
      <w:rFonts w:ascii="Cambria" w:hAnsi="Cambria" w:cs="Times New Roman"/>
      <w:b/>
      <w:bCs/>
      <w:kern w:val="28"/>
      <w:sz w:val="32"/>
      <w:szCs w:val="32"/>
    </w:rPr>
  </w:style>
  <w:style w:type="paragraph" w:styleId="BalloonText">
    <w:name w:val="Balloon Text"/>
    <w:basedOn w:val="Normal"/>
    <w:link w:val="BalloonTextChar"/>
    <w:uiPriority w:val="99"/>
    <w:semiHidden/>
    <w:rsid w:val="00AA385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A385E"/>
    <w:rPr>
      <w:rFonts w:ascii="Segoe UI" w:hAnsi="Segoe UI" w:cs="Segoe UI"/>
      <w:sz w:val="18"/>
      <w:szCs w:val="18"/>
    </w:rPr>
  </w:style>
  <w:style w:type="paragraph" w:styleId="NoSpacing">
    <w:name w:val="No Spacing"/>
    <w:basedOn w:val="Normal"/>
    <w:uiPriority w:val="99"/>
    <w:qFormat/>
    <w:rsid w:val="00AA385E"/>
    <w:rPr>
      <w:szCs w:val="32"/>
    </w:rPr>
  </w:style>
  <w:style w:type="paragraph" w:styleId="ListParagraph">
    <w:name w:val="List Paragraph"/>
    <w:basedOn w:val="Normal"/>
    <w:uiPriority w:val="99"/>
    <w:qFormat/>
    <w:rsid w:val="00AA385E"/>
    <w:pPr>
      <w:ind w:left="720"/>
      <w:contextualSpacing/>
    </w:pPr>
  </w:style>
  <w:style w:type="paragraph" w:styleId="Subtitle">
    <w:name w:val="Subtitle"/>
    <w:basedOn w:val="Normal"/>
    <w:next w:val="Normal"/>
    <w:link w:val="SubtitleChar"/>
    <w:uiPriority w:val="99"/>
    <w:qFormat/>
    <w:rsid w:val="00AA385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AA385E"/>
    <w:rPr>
      <w:rFonts w:ascii="Cambria" w:hAnsi="Cambria" w:cs="Times New Roman"/>
      <w:sz w:val="24"/>
      <w:szCs w:val="24"/>
    </w:rPr>
  </w:style>
  <w:style w:type="character" w:styleId="Strong">
    <w:name w:val="Strong"/>
    <w:basedOn w:val="DefaultParagraphFont"/>
    <w:uiPriority w:val="99"/>
    <w:qFormat/>
    <w:rsid w:val="00AA385E"/>
    <w:rPr>
      <w:rFonts w:cs="Times New Roman"/>
      <w:b/>
      <w:bCs/>
    </w:rPr>
  </w:style>
  <w:style w:type="character" w:styleId="Emphasis">
    <w:name w:val="Emphasis"/>
    <w:basedOn w:val="DefaultParagraphFont"/>
    <w:uiPriority w:val="99"/>
    <w:qFormat/>
    <w:rsid w:val="00AA385E"/>
    <w:rPr>
      <w:rFonts w:ascii="Calibri" w:hAnsi="Calibri" w:cs="Times New Roman"/>
      <w:b/>
      <w:i/>
      <w:iCs/>
    </w:rPr>
  </w:style>
  <w:style w:type="paragraph" w:styleId="Quote">
    <w:name w:val="Quote"/>
    <w:basedOn w:val="Normal"/>
    <w:next w:val="Normal"/>
    <w:link w:val="QuoteChar"/>
    <w:uiPriority w:val="99"/>
    <w:qFormat/>
    <w:rsid w:val="00AA385E"/>
    <w:rPr>
      <w:i/>
    </w:rPr>
  </w:style>
  <w:style w:type="character" w:customStyle="1" w:styleId="QuoteChar">
    <w:name w:val="Quote Char"/>
    <w:basedOn w:val="DefaultParagraphFont"/>
    <w:link w:val="Quote"/>
    <w:uiPriority w:val="99"/>
    <w:locked/>
    <w:rsid w:val="00AA385E"/>
    <w:rPr>
      <w:rFonts w:eastAsia="Times New Roman" w:cs="Times New Roman"/>
      <w:i/>
      <w:sz w:val="24"/>
      <w:szCs w:val="24"/>
    </w:rPr>
  </w:style>
  <w:style w:type="paragraph" w:styleId="IntenseQuote">
    <w:name w:val="Intense Quote"/>
    <w:basedOn w:val="Normal"/>
    <w:next w:val="Normal"/>
    <w:link w:val="IntenseQuoteChar"/>
    <w:uiPriority w:val="99"/>
    <w:qFormat/>
    <w:rsid w:val="00AA385E"/>
    <w:pPr>
      <w:ind w:left="720" w:right="720"/>
    </w:pPr>
    <w:rPr>
      <w:b/>
      <w:i/>
      <w:szCs w:val="22"/>
    </w:rPr>
  </w:style>
  <w:style w:type="character" w:customStyle="1" w:styleId="IntenseQuoteChar">
    <w:name w:val="Intense Quote Char"/>
    <w:basedOn w:val="DefaultParagraphFont"/>
    <w:link w:val="IntenseQuote"/>
    <w:uiPriority w:val="99"/>
    <w:locked/>
    <w:rsid w:val="00AA385E"/>
    <w:rPr>
      <w:rFonts w:eastAsia="Times New Roman" w:cs="Times New Roman"/>
      <w:b/>
      <w:i/>
      <w:sz w:val="24"/>
    </w:rPr>
  </w:style>
  <w:style w:type="character" w:styleId="SubtleEmphasis">
    <w:name w:val="Subtle Emphasis"/>
    <w:basedOn w:val="DefaultParagraphFont"/>
    <w:uiPriority w:val="99"/>
    <w:qFormat/>
    <w:rsid w:val="00AA385E"/>
    <w:rPr>
      <w:i/>
      <w:color w:val="5A5A5A"/>
    </w:rPr>
  </w:style>
  <w:style w:type="character" w:styleId="IntenseEmphasis">
    <w:name w:val="Intense Emphasis"/>
    <w:basedOn w:val="DefaultParagraphFont"/>
    <w:uiPriority w:val="99"/>
    <w:qFormat/>
    <w:rsid w:val="00AA385E"/>
    <w:rPr>
      <w:rFonts w:cs="Times New Roman"/>
      <w:b/>
      <w:i/>
      <w:sz w:val="24"/>
      <w:szCs w:val="24"/>
      <w:u w:val="single"/>
    </w:rPr>
  </w:style>
  <w:style w:type="character" w:styleId="SubtleReference">
    <w:name w:val="Subtle Reference"/>
    <w:basedOn w:val="DefaultParagraphFont"/>
    <w:uiPriority w:val="99"/>
    <w:qFormat/>
    <w:rsid w:val="00AA385E"/>
    <w:rPr>
      <w:rFonts w:cs="Times New Roman"/>
      <w:sz w:val="24"/>
      <w:szCs w:val="24"/>
      <w:u w:val="single"/>
    </w:rPr>
  </w:style>
  <w:style w:type="character" w:styleId="IntenseReference">
    <w:name w:val="Intense Reference"/>
    <w:basedOn w:val="DefaultParagraphFont"/>
    <w:uiPriority w:val="99"/>
    <w:qFormat/>
    <w:rsid w:val="00AA385E"/>
    <w:rPr>
      <w:rFonts w:cs="Times New Roman"/>
      <w:b/>
      <w:sz w:val="24"/>
      <w:u w:val="single"/>
    </w:rPr>
  </w:style>
  <w:style w:type="character" w:styleId="BookTitle">
    <w:name w:val="Book Title"/>
    <w:basedOn w:val="DefaultParagraphFont"/>
    <w:uiPriority w:val="99"/>
    <w:qFormat/>
    <w:rsid w:val="00AA385E"/>
    <w:rPr>
      <w:rFonts w:ascii="Cambria" w:hAnsi="Cambria" w:cs="Times New Roman"/>
      <w:b/>
      <w:i/>
      <w:sz w:val="24"/>
      <w:szCs w:val="24"/>
    </w:rPr>
  </w:style>
  <w:style w:type="paragraph" w:styleId="TOCHeading">
    <w:name w:val="TOC Heading"/>
    <w:basedOn w:val="Heading1"/>
    <w:next w:val="Normal"/>
    <w:uiPriority w:val="99"/>
    <w:qFormat/>
    <w:rsid w:val="00AA385E"/>
    <w:pPr>
      <w:numPr>
        <w:numId w:val="0"/>
      </w:numPr>
      <w:outlineLvl w:val="9"/>
    </w:pPr>
  </w:style>
</w:styles>
</file>

<file path=word/webSettings.xml><?xml version="1.0" encoding="utf-8"?>
<w:webSettings xmlns:r="http://schemas.openxmlformats.org/officeDocument/2006/relationships" xmlns:w="http://schemas.openxmlformats.org/wordprocessingml/2006/main">
  <w:divs>
    <w:div w:id="495612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6</Pages>
  <Words>6775</Words>
  <Characters>3863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6</cp:revision>
  <dcterms:created xsi:type="dcterms:W3CDTF">2019-09-28T11:24:00Z</dcterms:created>
  <dcterms:modified xsi:type="dcterms:W3CDTF">2019-10-29T08:38:00Z</dcterms:modified>
</cp:coreProperties>
</file>