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54" w:rsidRPr="006D3F0C" w:rsidRDefault="00554154" w:rsidP="008770DD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D3F0C">
        <w:rPr>
          <w:rFonts w:ascii="Times New Roman" w:hAnsi="Times New Roman"/>
          <w:b/>
          <w:sz w:val="28"/>
          <w:szCs w:val="28"/>
        </w:rPr>
        <w:t>Сергей Лебский</w:t>
      </w:r>
    </w:p>
    <w:p w:rsidR="00554154" w:rsidRPr="006D3F0C" w:rsidRDefault="00554154" w:rsidP="008770DD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6D3F0C">
        <w:rPr>
          <w:rFonts w:ascii="Times New Roman" w:hAnsi="Times New Roman"/>
          <w:b/>
          <w:sz w:val="28"/>
          <w:szCs w:val="28"/>
        </w:rPr>
        <w:t>(Киев, Украина)</w:t>
      </w:r>
    </w:p>
    <w:p w:rsidR="00554154" w:rsidRPr="008770DD" w:rsidRDefault="00554154" w:rsidP="008770DD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54154" w:rsidRPr="006D3F0C" w:rsidRDefault="00554154" w:rsidP="00297E6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D3F0C">
        <w:rPr>
          <w:rFonts w:ascii="Times New Roman" w:hAnsi="Times New Roman"/>
          <w:b/>
          <w:sz w:val="28"/>
          <w:szCs w:val="28"/>
          <w:lang w:val="ru-RU"/>
        </w:rPr>
        <w:t>ОСОБЕННОСТИ ОБРАЗОВАНИЯ И УТИЛИЗАЦИИ ОТХОДОВ В УКРАИНЕ</w:t>
      </w:r>
    </w:p>
    <w:p w:rsidR="00554154" w:rsidRPr="001F5FF0" w:rsidRDefault="00554154" w:rsidP="00E24FB9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D4CE1">
        <w:rPr>
          <w:rFonts w:ascii="Times New Roman" w:hAnsi="Times New Roman"/>
          <w:sz w:val="28"/>
          <w:szCs w:val="28"/>
          <w:lang w:val="ru-RU"/>
        </w:rPr>
        <w:t>В последние годы увеличивается влияние антропогенных факторов на окружающую среду, что сопровождается повышением уровня накопления отходов различного происхождения [</w:t>
      </w:r>
      <w:r>
        <w:rPr>
          <w:rFonts w:ascii="Times New Roman" w:hAnsi="Times New Roman"/>
          <w:sz w:val="28"/>
          <w:szCs w:val="28"/>
          <w:lang w:val="ru-RU"/>
        </w:rPr>
        <w:t>6,7,8</w:t>
      </w:r>
      <w:r w:rsidRPr="006D4CE1">
        <w:rPr>
          <w:rFonts w:ascii="Times New Roman" w:hAnsi="Times New Roman"/>
          <w:sz w:val="28"/>
          <w:szCs w:val="28"/>
          <w:lang w:val="ru-RU"/>
        </w:rPr>
        <w:t>]. В связи с этим проблема обеспечения экологической безопасности приобретает особую актуальность.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D4CE1">
        <w:rPr>
          <w:rFonts w:ascii="Times New Roman" w:hAnsi="Times New Roman"/>
          <w:sz w:val="28"/>
          <w:szCs w:val="28"/>
          <w:lang w:val="ru-RU"/>
        </w:rPr>
        <w:t xml:space="preserve">Основными государственными нормативными документами, принятыми в Украине в области утилизации и рациональной переработки отходов, являются следующие: 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D4CE1">
        <w:rPr>
          <w:rFonts w:ascii="Times New Roman" w:hAnsi="Times New Roman"/>
          <w:sz w:val="28"/>
          <w:szCs w:val="28"/>
          <w:lang w:val="ru-RU"/>
        </w:rPr>
        <w:t>- Закон Украины «Об отходах» с изменениями и дополнениями, внесенными Законами Украины от 07.03.2002 г.№3073-111 и от 23.12.2004 г.№2290-1У</w:t>
      </w:r>
      <w:r>
        <w:rPr>
          <w:rFonts w:ascii="Times New Roman" w:hAnsi="Times New Roman"/>
          <w:sz w:val="28"/>
          <w:szCs w:val="28"/>
          <w:lang w:val="ru-RU"/>
        </w:rPr>
        <w:t xml:space="preserve"> [1]</w:t>
      </w:r>
      <w:r w:rsidRPr="006D4CE1">
        <w:rPr>
          <w:rFonts w:ascii="Times New Roman" w:hAnsi="Times New Roman"/>
          <w:sz w:val="28"/>
          <w:szCs w:val="28"/>
          <w:lang w:val="ru-RU"/>
        </w:rPr>
        <w:t>, который определяет правовые, организационные и экономические мероприятия, связанные с предупреждением или уменьшением объемов образования отходов в результате практической деятельности человека, их сбором, перевозкой, обработкой, утилизацией, обезвреживанием, захоронением, а также снижение негативного влияния отходов на окружающую среду и здоровье человека на территории Украины;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D4CE1">
        <w:rPr>
          <w:rFonts w:ascii="Times New Roman" w:hAnsi="Times New Roman"/>
          <w:sz w:val="28"/>
          <w:szCs w:val="28"/>
          <w:lang w:val="ru-RU"/>
        </w:rPr>
        <w:t>- «Национальный доклад о состоянии окружающей среды в Украине» Министерства экологической безопасности Украины (</w:t>
      </w:r>
      <w:smartTag w:uri="urn:schemas-microsoft-com:office:smarttags" w:element="metricconverter">
        <w:smartTagPr>
          <w:attr w:name="ProductID" w:val="2013 г"/>
        </w:smartTagPr>
        <w:r w:rsidRPr="006D4CE1">
          <w:rPr>
            <w:rFonts w:ascii="Times New Roman" w:hAnsi="Times New Roman"/>
            <w:sz w:val="28"/>
            <w:szCs w:val="28"/>
            <w:lang w:val="ru-RU"/>
          </w:rPr>
          <w:t>2013 г</w:t>
        </w:r>
      </w:smartTag>
      <w:r w:rsidRPr="006D4CE1">
        <w:rPr>
          <w:rFonts w:ascii="Times New Roman" w:hAnsi="Times New Roman"/>
          <w:sz w:val="28"/>
          <w:szCs w:val="28"/>
          <w:lang w:val="ru-RU"/>
        </w:rPr>
        <w:t>.), который определяет политику Украины в области пользования природными ресурсами и регламентирует структуру и виды отходов, а также основные направления государственного контроля и управления в области охраны окружающей среды;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sz w:val="28"/>
          <w:szCs w:val="28"/>
          <w:lang w:val="ru-RU"/>
        </w:rPr>
        <w:t xml:space="preserve">- государственный стандарт </w:t>
      </w:r>
      <w:r w:rsidRPr="006D4CE1">
        <w:rPr>
          <w:rFonts w:ascii="Times New Roman" w:hAnsi="Times New Roman"/>
          <w:color w:val="000000"/>
          <w:sz w:val="28"/>
          <w:szCs w:val="28"/>
          <w:lang w:eastAsia="uk-UA"/>
        </w:rPr>
        <w:t>ГОСТ 17.9.0.2-99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(ДСТУ 2195-99) «Охрана природы. Обращение с отходами. Технический паспорт отходов. Состав, содержание, изложение и правила внесения изменений»</w:t>
      </w:r>
      <w:r>
        <w:rPr>
          <w:rFonts w:ascii="Times New Roman" w:hAnsi="Times New Roman"/>
          <w:sz w:val="28"/>
          <w:szCs w:val="28"/>
          <w:lang w:val="ru-RU"/>
        </w:rPr>
        <w:t>[4, 5]</w:t>
      </w:r>
      <w:r w:rsidRPr="006D4CE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который регламентирует требования к отходам, конкретные данные о месте, условиях и объемах образования отходов, их технические, физико-химические и другие параметры, методы контроля, а также сведенья о возможных технологиях их переработки;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- целевая комплексная программа «Разработка и внедрение новых технологических процессов, обеспечивающих максимальное использование и обезвреживание промышленных и бытовых отходов», которая предусматривает сбор и переработку отходов металлоперерабатывающей промышленности, макулатуры, стекла и полимерных материалов</w:t>
      </w:r>
      <w:r>
        <w:rPr>
          <w:rFonts w:ascii="Times New Roman" w:hAnsi="Times New Roman"/>
          <w:sz w:val="28"/>
          <w:szCs w:val="28"/>
          <w:lang w:val="ru-RU"/>
        </w:rPr>
        <w:t>[2, 6, 8]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Основными принципами государственной политики в области обращения с отходами являются следующие: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- приоритетная защита окружающей среды и здоровья человека от негативного влияния отходов;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- обеспечение экономного использования сырьевых и энергетических ресурсов;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- научно обоснованное согласование экологических, экономических и социальных интересов общества в области формирования и использования отходов с целью обеспечения устойчивого его развития. 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В постановлениях и законодательных документах Украины значительное внимание уделяется необходимости более активного использования достижений научно-технического прогресса в области природопользования, в первую очередь внедрения малоотходных и безотходных технологических процессов при переработке сырья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2, 6, 8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Тем не менее, экономике Украины свойственны высокий уровень ресурсоемких и энергоемких технологий, внедрение которых осуществлялось без учета объемов образования отходов и строительства соответствующих очистных сооружений для их уничтожения или захоронения. Особенности экономической ситуации и низкий уровень экологического образования привели к значительной деградации окружающей среды Украины, загрязнению поверхностных и подземных вод, атмосферного воздуха и земель, накоплению значительного количества вредных отходов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6,8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].В результате унаследованной структуры промышленного производства, которая характеризуется преимущественным развитием добывающей, металлургической, химической и других энергоемких отраслей промышленности, технологический уровень которых не соответствует современным требованиям, Украина оказалась среди стран с наиболее высоким уровнем образования и накопления отходов.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Экологическая ситуация в Украине усугубляется также региональными катастрофами. Авария на Чернобыльской АЭС, ее экономические и социальные последствия создали ситуацию, которая соответствует уровню глобальной экологической катастрофы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6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В соответствии с гипертрофированным развитием горнодобывающей отрасли на протяжении десятилетий в Украине доминируют отходы, которые образуются при разработке, добычи полезных ископаемых и их обогащения; при этом значительная их часть представлена отходами химико-металлургической переработки сырья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7,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8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Отходы собираются в специальных шламохранилищах и отвалах предприятий, терриконах и др. Инфильтрация отходов, пылеобразование, ветровая и водная эрозия, миграция токсичных веществ сопровождаются загрязнением подземных и поверхностных вод, ухудшением состояния атмосферного воздуха и земельных ресурсов, что в совокупности негативно отражается на состоянии окружающей среды и здоровье людей.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В настоящее время общая масса накопленных отходов в поверхностных хранилищах на территории Украины превышает 25 млрд.т, что в пересчете на 1 км</w:t>
      </w:r>
      <w:r w:rsidRPr="006D4CE1">
        <w:rPr>
          <w:rFonts w:ascii="Times New Roman" w:hAnsi="Times New Roman"/>
          <w:color w:val="000000"/>
          <w:sz w:val="28"/>
          <w:szCs w:val="28"/>
          <w:vertAlign w:val="superscript"/>
          <w:lang w:val="ru-RU" w:eastAsia="uk-UA"/>
        </w:rPr>
        <w:t>2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площади составляет около 40 тыс.т ( из них токсичных веществ – 5 тыс.т) и является одним из наивысших в мире показателей образования и накопления отходов в мире. Согласно статистических данных ежегодный общий объем образования отходов в Украине составляет 700-720 млн.т 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6,8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].</w:t>
      </w:r>
    </w:p>
    <w:p w:rsidR="00554154" w:rsidRPr="006D4CE1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Среди всех видов наибольшее загрязнение окружающей среды создают энергетическая (32%), металлургическая (27%), и угольная (23%) промышленности. 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Массовая доля бытовых отходов определяется типом и местом поселения. Так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, в поселениях городского типа 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ежегодно образуется около 400 млн м</w:t>
      </w:r>
      <w:r w:rsidRPr="006D4CE1">
        <w:rPr>
          <w:rFonts w:ascii="Times New Roman" w:hAnsi="Times New Roman"/>
          <w:color w:val="000000"/>
          <w:sz w:val="28"/>
          <w:szCs w:val="28"/>
          <w:vertAlign w:val="superscript"/>
          <w:lang w:val="ru-RU" w:eastAsia="uk-UA"/>
        </w:rPr>
        <w:t>3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отходов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(порядка 0,8 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м</w:t>
      </w:r>
      <w:r w:rsidRPr="006D4CE1">
        <w:rPr>
          <w:rFonts w:ascii="Times New Roman" w:hAnsi="Times New Roman"/>
          <w:color w:val="000000"/>
          <w:sz w:val="28"/>
          <w:szCs w:val="28"/>
          <w:vertAlign w:val="superscript"/>
          <w:lang w:val="ru-RU" w:eastAsia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на одного жителя), которые скапливаются на 770 местных свалках и в последующем утилизируются на мусорозжигательных заводах.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К сожалению не решается проблема промышленного уничтожения твердых бытовых отходов. Существующая отечественная и зарубежная практики их уничтожения не соответствуют экологическим требованиям и вызывают противодействие сельского населения, где строятся такие объекты. Наибольшие площади под такие свалки заняты в Днепропетровской – </w:t>
      </w:r>
      <w:smartTag w:uri="urn:schemas-microsoft-com:office:smarttags" w:element="metricconverter">
        <w:smartTagPr>
          <w:attr w:name="ProductID" w:val="140 га"/>
        </w:smartTagPr>
        <w:r>
          <w:rPr>
            <w:rFonts w:ascii="Times New Roman" w:hAnsi="Times New Roman"/>
            <w:color w:val="000000"/>
            <w:sz w:val="28"/>
            <w:szCs w:val="28"/>
            <w:lang w:val="ru-RU" w:eastAsia="uk-UA"/>
          </w:rPr>
          <w:t>140 га</w:t>
        </w:r>
      </w:smartTag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; Донецкой – </w:t>
      </w:r>
      <w:smartTag w:uri="urn:schemas-microsoft-com:office:smarttags" w:element="metricconverter">
        <w:smartTagPr>
          <w:attr w:name="ProductID" w:val="330 га"/>
        </w:smartTagPr>
        <w:r>
          <w:rPr>
            <w:rFonts w:ascii="Times New Roman" w:hAnsi="Times New Roman"/>
            <w:color w:val="000000"/>
            <w:sz w:val="28"/>
            <w:szCs w:val="28"/>
            <w:lang w:val="ru-RU" w:eastAsia="uk-UA"/>
          </w:rPr>
          <w:t>330 га</w:t>
        </w:r>
      </w:smartTag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; Одесской – </w:t>
      </w:r>
      <w:smartTag w:uri="urn:schemas-microsoft-com:office:smarttags" w:element="metricconverter">
        <w:smartTagPr>
          <w:attr w:name="ProductID" w:val="195 га"/>
        </w:smartTagPr>
        <w:r>
          <w:rPr>
            <w:rFonts w:ascii="Times New Roman" w:hAnsi="Times New Roman"/>
            <w:color w:val="000000"/>
            <w:sz w:val="28"/>
            <w:szCs w:val="28"/>
            <w:lang w:val="ru-RU" w:eastAsia="uk-UA"/>
          </w:rPr>
          <w:t>195 га</w:t>
        </w:r>
      </w:smartTag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; Запорожской – 153 гаобластях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[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8</w:t>
      </w:r>
      <w:r w:rsidRPr="006D4CE1">
        <w:rPr>
          <w:rFonts w:ascii="Times New Roman" w:hAnsi="Times New Roman"/>
          <w:color w:val="000000"/>
          <w:sz w:val="28"/>
          <w:szCs w:val="28"/>
          <w:lang w:val="ru-RU" w:eastAsia="uk-UA"/>
        </w:rPr>
        <w:t>].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Повторное использование бытовых отходов в Украине не приносит существенной прибыли, поэтому значительная их часть сжигается или находится на свалках.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Токсичные отходы – тяжелые металлы, нефтепродукты представляют особую опасность для здоровья людей и окружающей среды. Так, в Украине ежегодно накапливается более 70 млн т токсичных отходов. Наибольшая часть токсичных отходов сосредоточены в Днепропетровской, Донецкой, Луганской, Запорожской , Харьковской и Сумской областях. Тем не менее, в последние годы повысился уровень использования отходов 111 класса до 89%; 1 класса – до 2,5%; 11 класса – 48,6%; 1У класса – до 37,2% [8]. 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Радиоактивные отходы представлены в Украине отходами с предприятий уранодобывающей и ураноперерабатывающей промышленностей, объектами атомной энергетики</w:t>
      </w:r>
      <w:r>
        <w:rPr>
          <w:rFonts w:ascii="Times New Roman" w:hAnsi="Times New Roman"/>
          <w:color w:val="000000"/>
          <w:sz w:val="27"/>
          <w:szCs w:val="27"/>
          <w:lang w:val="ru-RU" w:eastAsia="uk-UA"/>
        </w:rPr>
        <w:t>а также предприятиями, которые используют источники ионизирующего излучения.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7"/>
          <w:szCs w:val="27"/>
          <w:lang w:val="ru-RU" w:eastAsia="uk-UA"/>
        </w:rPr>
        <w:t xml:space="preserve">Для населения и окружающей среды наибольшую опасность представляют хранилища ураноперерабатывающей промышленности, которые размещены на площади </w:t>
      </w:r>
      <w:smartTag w:uri="urn:schemas-microsoft-com:office:smarttags" w:element="metricconverter">
        <w:smartTagPr>
          <w:attr w:name="ProductID" w:val="542 га"/>
        </w:smartTagPr>
        <w:r>
          <w:rPr>
            <w:rFonts w:ascii="Times New Roman" w:hAnsi="Times New Roman"/>
            <w:color w:val="000000"/>
            <w:sz w:val="27"/>
            <w:szCs w:val="27"/>
            <w:lang w:val="ru-RU" w:eastAsia="uk-UA"/>
          </w:rPr>
          <w:t>542 га</w:t>
        </w:r>
      </w:smartTag>
      <w:r>
        <w:rPr>
          <w:rFonts w:ascii="Times New Roman" w:hAnsi="Times New Roman"/>
          <w:color w:val="000000"/>
          <w:sz w:val="27"/>
          <w:szCs w:val="27"/>
          <w:lang w:val="ru-RU" w:eastAsia="uk-UA"/>
        </w:rPr>
        <w:t xml:space="preserve"> и содержат порядка 65,5 млн т отходов 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[8]. На атомных электростанциях большая часть хранилищ, предназначенных для временного сохранения радиоактивных отходов, заполнена на 95%. Хранилища на Чернобыльской АЭС полностью заполнены и законсервированы до решения вопросов о их переработке</w:t>
      </w:r>
      <w:r>
        <w:rPr>
          <w:rFonts w:ascii="Times New Roman" w:hAnsi="Times New Roman"/>
          <w:sz w:val="28"/>
          <w:szCs w:val="28"/>
          <w:lang w:val="ru-RU"/>
        </w:rPr>
        <w:t>[3].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Отдельная группа отходов представлена непригодными для использования пестицидами. Их накопление в Украине было начато в </w:t>
      </w:r>
      <w:smartTag w:uri="urn:schemas-microsoft-com:office:smarttags" w:element="metricconverter">
        <w:smartTagPr>
          <w:attr w:name="ProductID" w:val="1970 г"/>
        </w:smartTagPr>
        <w:r>
          <w:rPr>
            <w:rFonts w:ascii="Times New Roman" w:hAnsi="Times New Roman"/>
            <w:color w:val="000000"/>
            <w:sz w:val="28"/>
            <w:szCs w:val="28"/>
            <w:lang w:val="ru-RU" w:eastAsia="uk-UA"/>
          </w:rPr>
          <w:t>1970 г</w:t>
        </w:r>
      </w:smartTag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. в связи с запретом применения некоторых групп пестицидов при выращивании сельскохозяйственных культур.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В результате отсутствия надлежащих условий их хранения увеличился риск негативного их влияния на окружающую среду и на здоровье человека. Согласно статистических данных  в Украине порядка 13,5 тыс.т непригодных для использования пестицидов хранятся на 147 объектах централизованного хранения и на 6500 складах сельскохозяйственных предприятий [8]. Для положительного решения этого вопросанеобходима комплексная инвентаризация, идентификация химической структуры и разработка технологий их обезвреживания.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Следует отметить, что в Украине практически отсутствуют оборудованные полигоны для централизованного хранения и уничтожения отходов. Около 80% всех отходов хранится в хранилищах, установленных на поверхности земли. В настоящее время более 2700 объектов размещения отходов содержат смеси бытовых и промышленных отходов.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Тем не менее, в настоящее время предпринимаются меры по внедрению комплексного подхода к утилизации отходов, которые состоят из следующих операций: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сбор отходов, которые образуются удаляются с мест их образования и накопление;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сортировка по определенным признакам в соответствии с показателями безопасности и сбор на идентичные по показателям склады;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размещение в специальных хранилищах для временного сохранения до специализированной обработки, утилизации или уничтожения.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В Украине, как и в других странах разработаны требования к безопасности отходов и, соответственно, к условиям их хранения: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отходы 1-111 классов опасности по мере их накопления собирают в тару и направляют в места их временного хранения согласно установленных инструкций и плана предприятия, на котором они образуются; дополнительно к этому на каждый объект хранения отходов должен быть паспорт с полной технической характеристикой места, указанием методов контроля и безопасности эксплуатации, наименование и соответствующие коды отходов, количественный и качественный состав;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чрезвычайно опасные отходы (1 класс опасности) сохраняют в герметично закрытой таре (стальные бочки, контейнеры);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высоко опасные отходы (11 класс опасности) хранят в соответствии с их физическим состоянием в полиэтиленовых мешках, пакетах, бочках или других видах тары, что предупреждает распространению вредных веществ в окружающую среду;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средней опасности отходы (111 класс опасности) сохраняют в таре, которая позволяет обеспечить их локализацию, дает возможность проводить с ними погрузочно-разгрузочные работы и транспортировку, а также обеспечить не распространение в окружающую среду;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- малоопасные отходы (1У класс опасности) могут сохраняться открыто на производственных площадях в условиях, позволяющих выполнять погрузочно-разгрузочные и транспортные работы.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При условии сбора отходов в соответствии с инструкциями в зависимости от видов, марки, класса опасности может быть обеспечена экологическая чистота окружающей среды.</w:t>
      </w:r>
    </w:p>
    <w:p w:rsidR="00554154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В настоящее время в Украине применяют более 20 методов обезвреживания и утилизации отходов с использованием для каждого  от 5 до 10 технологических схем, локальных технологий, типов инженерных сооружений и оборудования [2, 6]. Продолжаются исследования по совершенствованию методов захоронения отходов для обеспечения их безопасности для будущих поколений.</w:t>
      </w:r>
    </w:p>
    <w:p w:rsidR="00554154" w:rsidRPr="008D73AA" w:rsidRDefault="00554154" w:rsidP="008770D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:rsidR="00554154" w:rsidRPr="006D3F0C" w:rsidRDefault="00554154" w:rsidP="006D3F0C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</w:pPr>
      <w:r w:rsidRPr="006D3F0C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>Литература:</w:t>
      </w:r>
    </w:p>
    <w:p w:rsidR="00554154" w:rsidRDefault="00554154" w:rsidP="008770D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Закон України «Про відходи» №187/98-ВР від 05.03.98 (із змінами</w:t>
      </w:r>
    </w:p>
    <w:p w:rsidR="00554154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від 07.03.2002</w:t>
      </w:r>
      <w:r w:rsidRPr="00722343">
        <w:rPr>
          <w:rFonts w:ascii="Times New Roman" w:hAnsi="Times New Roman"/>
          <w:color w:val="000000"/>
          <w:sz w:val="28"/>
          <w:szCs w:val="28"/>
          <w:lang w:val="ru-RU" w:eastAsia="uk-UA"/>
        </w:rPr>
        <w:t>. – ВідомостіВерховної ради, 1998. - № 36-37. – С.242.</w:t>
      </w:r>
    </w:p>
    <w:p w:rsidR="00554154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   2.Закон України «Про загально державну программу поводження з токсичними відходами» №1947-111 від 14.09.2000. – Відомості Верховної Ради. – 2000. - №44. – С.374.</w:t>
      </w:r>
    </w:p>
    <w:p w:rsidR="00554154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   3. Закон України «Про поводження з радіоактивними відходами» №255/95-ВР від 30.06.95 (із змінами від 20.04.2000). – Відомості Верховної ради. –1995. - №27. – С.198.</w:t>
      </w:r>
    </w:p>
    <w:p w:rsidR="00554154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  4. ДСТУ 4462.0.01 – 2005. Охорона природи. Поводження з відходами. Загальгі вимоги.</w:t>
      </w:r>
    </w:p>
    <w:p w:rsidR="00554154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 5. ДСТУ 2195-99 (ГОСТ 17.9.0.2 – 99). Охорона природи. Поводження з відходами. Технічний паспорт відходу. Склад, вміст, викладання та правила внесення.</w:t>
      </w:r>
    </w:p>
    <w:p w:rsidR="00554154" w:rsidRPr="008D73AA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6. Дрозд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І.П. Концепція прийнятого ризику та проблеми забезпечення техногенної безпеки в Україні / І.П.Дрозд, А.С.Охота // Екологічна безпека та природокористування. Збірник наукових праць. </w:t>
      </w: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ипуск №7. – 2011. – С.82-108.</w:t>
      </w:r>
    </w:p>
    <w:p w:rsidR="00554154" w:rsidRPr="00722343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     7. Состояние вопроса об отходах и современные способы их переработки: учебное пособие / Г.К.Лобачева, В.Ф.Желтобрюхов, И.И.Прокопов, А.П.Форменко. – Волгоград: Изд-во ВолГУ, 2005. –207 с.</w:t>
      </w:r>
    </w:p>
    <w:p w:rsidR="00554154" w:rsidRPr="008D73AA" w:rsidRDefault="00554154" w:rsidP="007567B3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8D73AA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Суханевич М.В. </w:t>
      </w:r>
      <w:r w:rsidRPr="008D73AA">
        <w:rPr>
          <w:rFonts w:ascii="Times New Roman" w:hAnsi="Times New Roman"/>
          <w:color w:val="000000"/>
          <w:sz w:val="28"/>
          <w:szCs w:val="28"/>
          <w:lang w:eastAsia="uk-UA"/>
        </w:rPr>
        <w:t>Поводження з відходами та їх використання для</w:t>
      </w:r>
    </w:p>
    <w:p w:rsidR="00554154" w:rsidRDefault="00554154" w:rsidP="00B87815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  <w:r w:rsidRPr="00722343">
        <w:rPr>
          <w:rFonts w:ascii="Times New Roman" w:hAnsi="Times New Roman"/>
          <w:color w:val="000000"/>
          <w:sz w:val="28"/>
          <w:szCs w:val="28"/>
          <w:lang w:eastAsia="uk-UA"/>
        </w:rPr>
        <w:t>одержання будівельних матеріалів. Навчальний посібник / М.В.Суханевич. – К.: КНУБА. – 2011. – 152 с.</w:t>
      </w:r>
    </w:p>
    <w:p w:rsidR="00554154" w:rsidRPr="00CB7E80" w:rsidRDefault="00554154" w:rsidP="00B87815">
      <w:pPr>
        <w:spacing w:line="360" w:lineRule="auto"/>
        <w:jc w:val="right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:rsidR="00554154" w:rsidRPr="00CB7E80" w:rsidRDefault="00554154" w:rsidP="008770DD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:rsidR="00554154" w:rsidRPr="00CB7E80" w:rsidRDefault="00554154" w:rsidP="008770DD">
      <w:pPr>
        <w:spacing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ru-RU" w:eastAsia="uk-UA"/>
        </w:rPr>
      </w:pPr>
    </w:p>
    <w:p w:rsidR="00554154" w:rsidRPr="00E44564" w:rsidRDefault="00554154" w:rsidP="008770DD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554154" w:rsidRPr="00E44564" w:rsidSect="008770D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454"/>
    <w:multiLevelType w:val="hybridMultilevel"/>
    <w:tmpl w:val="0D2E0594"/>
    <w:lvl w:ilvl="0" w:tplc="F64A1DD6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1">
    <w:nsid w:val="0BFF5AE9"/>
    <w:multiLevelType w:val="multilevel"/>
    <w:tmpl w:val="C128C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A5A7A"/>
    <w:multiLevelType w:val="multilevel"/>
    <w:tmpl w:val="A99A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66BAE"/>
    <w:multiLevelType w:val="multilevel"/>
    <w:tmpl w:val="8C88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F6C64"/>
    <w:multiLevelType w:val="hybridMultilevel"/>
    <w:tmpl w:val="0854B7A0"/>
    <w:lvl w:ilvl="0" w:tplc="64E2C6CC">
      <w:start w:val="8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>
    <w:nsid w:val="208E269B"/>
    <w:multiLevelType w:val="multilevel"/>
    <w:tmpl w:val="9DC4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91602E"/>
    <w:multiLevelType w:val="multilevel"/>
    <w:tmpl w:val="19CCF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13ED9"/>
    <w:multiLevelType w:val="hybridMultilevel"/>
    <w:tmpl w:val="A790EE9C"/>
    <w:lvl w:ilvl="0" w:tplc="1D689140">
      <w:start w:val="8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8">
    <w:nsid w:val="35316724"/>
    <w:multiLevelType w:val="multilevel"/>
    <w:tmpl w:val="5848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5F2D4F"/>
    <w:multiLevelType w:val="hybridMultilevel"/>
    <w:tmpl w:val="2A50B1EE"/>
    <w:lvl w:ilvl="0" w:tplc="19DEA3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99306F"/>
    <w:multiLevelType w:val="multilevel"/>
    <w:tmpl w:val="BB24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A738EE"/>
    <w:multiLevelType w:val="multilevel"/>
    <w:tmpl w:val="9652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0F5C34"/>
    <w:multiLevelType w:val="multilevel"/>
    <w:tmpl w:val="FA7A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F64476"/>
    <w:multiLevelType w:val="hybridMultilevel"/>
    <w:tmpl w:val="13AE7174"/>
    <w:lvl w:ilvl="0" w:tplc="F9BA12F2">
      <w:start w:val="9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4">
    <w:nsid w:val="7B2763CB"/>
    <w:multiLevelType w:val="multilevel"/>
    <w:tmpl w:val="4F3C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F95031"/>
    <w:multiLevelType w:val="multilevel"/>
    <w:tmpl w:val="6EB4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0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15"/>
  </w:num>
  <w:num w:numId="12">
    <w:abstractNumId w:val="9"/>
  </w:num>
  <w:num w:numId="13">
    <w:abstractNumId w:val="13"/>
  </w:num>
  <w:num w:numId="14">
    <w:abstractNumId w:val="7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913"/>
    <w:rsid w:val="0005354D"/>
    <w:rsid w:val="000D0F8C"/>
    <w:rsid w:val="0010601E"/>
    <w:rsid w:val="0011005C"/>
    <w:rsid w:val="00112895"/>
    <w:rsid w:val="001707F3"/>
    <w:rsid w:val="001865A2"/>
    <w:rsid w:val="001E2EFD"/>
    <w:rsid w:val="001F5FF0"/>
    <w:rsid w:val="002020A1"/>
    <w:rsid w:val="002236BC"/>
    <w:rsid w:val="0024531E"/>
    <w:rsid w:val="00267F61"/>
    <w:rsid w:val="002819C1"/>
    <w:rsid w:val="00297E60"/>
    <w:rsid w:val="002F1913"/>
    <w:rsid w:val="00314357"/>
    <w:rsid w:val="003255EF"/>
    <w:rsid w:val="00351160"/>
    <w:rsid w:val="00367C41"/>
    <w:rsid w:val="00434D79"/>
    <w:rsid w:val="0044069F"/>
    <w:rsid w:val="004A5A37"/>
    <w:rsid w:val="004C4AC5"/>
    <w:rsid w:val="004C61DA"/>
    <w:rsid w:val="004C65AF"/>
    <w:rsid w:val="004D0C74"/>
    <w:rsid w:val="004E599D"/>
    <w:rsid w:val="00535DF5"/>
    <w:rsid w:val="00554154"/>
    <w:rsid w:val="00566CFF"/>
    <w:rsid w:val="006A1EB2"/>
    <w:rsid w:val="006B4005"/>
    <w:rsid w:val="006D3F0C"/>
    <w:rsid w:val="006D4CE1"/>
    <w:rsid w:val="00722343"/>
    <w:rsid w:val="00723531"/>
    <w:rsid w:val="007567B3"/>
    <w:rsid w:val="00765D30"/>
    <w:rsid w:val="00774624"/>
    <w:rsid w:val="00783773"/>
    <w:rsid w:val="00783E99"/>
    <w:rsid w:val="007B0617"/>
    <w:rsid w:val="007D553B"/>
    <w:rsid w:val="007E30B9"/>
    <w:rsid w:val="00802517"/>
    <w:rsid w:val="00812BAF"/>
    <w:rsid w:val="008216C3"/>
    <w:rsid w:val="00830320"/>
    <w:rsid w:val="00846E0B"/>
    <w:rsid w:val="00851713"/>
    <w:rsid w:val="008770DD"/>
    <w:rsid w:val="008C0C35"/>
    <w:rsid w:val="008C5A47"/>
    <w:rsid w:val="008D56C4"/>
    <w:rsid w:val="008D73AA"/>
    <w:rsid w:val="008E147B"/>
    <w:rsid w:val="009027E1"/>
    <w:rsid w:val="00906B58"/>
    <w:rsid w:val="00952967"/>
    <w:rsid w:val="009B2B9A"/>
    <w:rsid w:val="009D2691"/>
    <w:rsid w:val="009F1E92"/>
    <w:rsid w:val="00A34655"/>
    <w:rsid w:val="00A4450D"/>
    <w:rsid w:val="00A522EC"/>
    <w:rsid w:val="00A7008E"/>
    <w:rsid w:val="00A773AB"/>
    <w:rsid w:val="00AC6005"/>
    <w:rsid w:val="00AE6600"/>
    <w:rsid w:val="00AF4BA4"/>
    <w:rsid w:val="00B12B04"/>
    <w:rsid w:val="00B55980"/>
    <w:rsid w:val="00B87527"/>
    <w:rsid w:val="00B87815"/>
    <w:rsid w:val="00C0469F"/>
    <w:rsid w:val="00C13D8F"/>
    <w:rsid w:val="00C21691"/>
    <w:rsid w:val="00C228E8"/>
    <w:rsid w:val="00C60440"/>
    <w:rsid w:val="00C707C4"/>
    <w:rsid w:val="00CB54D4"/>
    <w:rsid w:val="00CB7E80"/>
    <w:rsid w:val="00DA4670"/>
    <w:rsid w:val="00DB7591"/>
    <w:rsid w:val="00DE4982"/>
    <w:rsid w:val="00E07E9A"/>
    <w:rsid w:val="00E20F6E"/>
    <w:rsid w:val="00E22995"/>
    <w:rsid w:val="00E24FB9"/>
    <w:rsid w:val="00E36D19"/>
    <w:rsid w:val="00E41AA3"/>
    <w:rsid w:val="00E44564"/>
    <w:rsid w:val="00EC6A42"/>
    <w:rsid w:val="00F24BF6"/>
    <w:rsid w:val="00F255D6"/>
    <w:rsid w:val="00F52643"/>
    <w:rsid w:val="00FB2FD2"/>
    <w:rsid w:val="00FB437E"/>
    <w:rsid w:val="00FD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2236B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36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36B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36B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36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236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36B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36B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236B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36BC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36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36B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236B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236BC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236BC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236BC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236B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236B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236BC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2236B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236BC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236BC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36BC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236B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236BC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2236BC"/>
    <w:rPr>
      <w:szCs w:val="32"/>
    </w:rPr>
  </w:style>
  <w:style w:type="paragraph" w:styleId="ListParagraph">
    <w:name w:val="List Paragraph"/>
    <w:basedOn w:val="Normal"/>
    <w:uiPriority w:val="99"/>
    <w:qFormat/>
    <w:rsid w:val="002236B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2236BC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236BC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236B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236BC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2236BC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2236BC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2236BC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2236BC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2236BC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2236BC"/>
    <w:pPr>
      <w:outlineLvl w:val="9"/>
    </w:pPr>
  </w:style>
  <w:style w:type="paragraph" w:styleId="NormalWeb">
    <w:name w:val="Normal (Web)"/>
    <w:basedOn w:val="Normal"/>
    <w:uiPriority w:val="99"/>
    <w:semiHidden/>
    <w:rsid w:val="00E44564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styleId="Hyperlink">
    <w:name w:val="Hyperlink"/>
    <w:basedOn w:val="DefaultParagraphFont"/>
    <w:uiPriority w:val="99"/>
    <w:rsid w:val="00CB7E8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7672</Words>
  <Characters>4374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Admin</cp:lastModifiedBy>
  <cp:revision>3</cp:revision>
  <dcterms:created xsi:type="dcterms:W3CDTF">2014-05-27T07:45:00Z</dcterms:created>
  <dcterms:modified xsi:type="dcterms:W3CDTF">2014-05-29T08:06:00Z</dcterms:modified>
</cp:coreProperties>
</file>