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66" w:rsidRPr="009332D5" w:rsidRDefault="00706366" w:rsidP="009332D5">
      <w:pPr>
        <w:spacing w:line="276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9332D5">
        <w:rPr>
          <w:rFonts w:ascii="Times New Roman" w:hAnsi="Times New Roman"/>
          <w:b/>
          <w:sz w:val="28"/>
          <w:szCs w:val="28"/>
          <w:lang w:val="ru-RU"/>
        </w:rPr>
        <w:t xml:space="preserve">Мунира Хамроқулова,   Миркамол  Махкамов </w:t>
      </w:r>
    </w:p>
    <w:p w:rsidR="00706366" w:rsidRPr="009332D5" w:rsidRDefault="00706366" w:rsidP="009332D5">
      <w:pPr>
        <w:spacing w:line="276" w:lineRule="auto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9332D5">
        <w:rPr>
          <w:rFonts w:ascii="Times New Roman" w:hAnsi="Times New Roman"/>
          <w:b/>
          <w:sz w:val="28"/>
          <w:szCs w:val="28"/>
          <w:lang w:val="ru-RU"/>
        </w:rPr>
        <w:t xml:space="preserve">(Ташкент, Узбекистан) </w:t>
      </w:r>
    </w:p>
    <w:p w:rsidR="00706366" w:rsidRPr="00061D37" w:rsidRDefault="00706366" w:rsidP="000352FA">
      <w:pPr>
        <w:spacing w:line="276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706366" w:rsidRDefault="00706366" w:rsidP="000352FA">
      <w:pPr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АКТУАЛЬНЫЕ </w:t>
      </w:r>
      <w:r w:rsidRPr="005D533E">
        <w:rPr>
          <w:rFonts w:ascii="Times New Roman" w:hAnsi="Times New Roman"/>
          <w:b/>
          <w:sz w:val="32"/>
          <w:szCs w:val="32"/>
          <w:lang w:val="ru-RU"/>
        </w:rPr>
        <w:t xml:space="preserve"> ВОПРОСЫ </w:t>
      </w:r>
      <w:r>
        <w:rPr>
          <w:rFonts w:ascii="Times New Roman" w:hAnsi="Times New Roman"/>
          <w:b/>
          <w:sz w:val="32"/>
          <w:szCs w:val="32"/>
          <w:lang w:val="ru-RU"/>
        </w:rPr>
        <w:t xml:space="preserve">ВСЕСТОРОННОГО </w:t>
      </w:r>
      <w:r w:rsidRPr="005D533E">
        <w:rPr>
          <w:rFonts w:ascii="Times New Roman" w:hAnsi="Times New Roman"/>
          <w:b/>
          <w:sz w:val="32"/>
          <w:szCs w:val="32"/>
          <w:lang w:val="ru-RU"/>
        </w:rPr>
        <w:t>РАЗВИТИЯ СТУДЕНТОВ В ПРОЦЕССЕ ПРЕПОДАВАНИЯ ЛАТЫНИ</w:t>
      </w:r>
    </w:p>
    <w:p w:rsidR="00706366" w:rsidRPr="005D533E" w:rsidRDefault="00706366" w:rsidP="000352FA">
      <w:pPr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В МЕДИЦИНСКИХ ВУЗАХ</w:t>
      </w:r>
    </w:p>
    <w:p w:rsidR="00706366" w:rsidRPr="005D533E" w:rsidRDefault="00706366" w:rsidP="000352FA">
      <w:pPr>
        <w:spacing w:line="276" w:lineRule="auto"/>
        <w:jc w:val="center"/>
        <w:rPr>
          <w:b/>
          <w:lang w:val="ru-RU"/>
        </w:rPr>
      </w:pPr>
    </w:p>
    <w:p w:rsidR="00706366" w:rsidRDefault="00706366" w:rsidP="00C017B8">
      <w:pPr>
        <w:spacing w:line="27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706366" w:rsidRPr="0006719D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В начале 20 века известный</w:t>
      </w:r>
      <w:r>
        <w:rPr>
          <w:rFonts w:ascii="Times New Roman" w:hAnsi="Times New Roman"/>
          <w:sz w:val="28"/>
          <w:szCs w:val="28"/>
          <w:lang w:val="ru-RU"/>
        </w:rPr>
        <w:t xml:space="preserve"> украинский </w:t>
      </w:r>
      <w:r w:rsidRPr="0006719D">
        <w:rPr>
          <w:rFonts w:ascii="Times New Roman" w:hAnsi="Times New Roman"/>
          <w:sz w:val="28"/>
          <w:szCs w:val="28"/>
          <w:lang w:val="ru-RU"/>
        </w:rPr>
        <w:t xml:space="preserve"> филолог Ф. Зелинский создал цикл лекций, направленных на обоснование необходимости изучения древней культуры, в том числе латинского языка, для современного общества. В частности, он подчеркивает, что, несмотря на то, что в связи с этим периодом уточнялась цель обучения латыни на разных этапах, ее целью всегда было обогащение интеллекта и культуры [1].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По мнению Н. Кацмана, преподавание латинского языка в высших учебных заведениях позволяет сформировать следующие компетенции: - расширение языкового кругозора студентов; - развитие абстрактно-грамматического мышления; - научный подход к изучению родного и иностранных языков; - общекультурное и интеллектуальное развитие учащихся путем освоения античной культуры [2].</w:t>
      </w:r>
    </w:p>
    <w:p w:rsidR="00706366" w:rsidRPr="0006719D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А. Подосинов подчеркнул, что основной целью обучения латыни является формирование индивидуальной образовательной стратегии: «Эта языковая система с открытым описанием и сравнительно легко поддающаяся изменению создает практичную и удобную идею для организации изучения языка в целом и позволяет сознательно подходить к ней. к изучению любого языка мира» [3].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 xml:space="preserve">  Э. Цивкунов подчеркнул важность междисциплинарности латыни и современных иностранных языков для формирования академической автономии у студентов, разработал методику преподавания латинского языка, которая «позволяет формировать академическую автономию у студентов, а также формировать языковую автономию у студентов». компетентность в преподавании английского и русского языков» [4].</w:t>
      </w:r>
    </w:p>
    <w:p w:rsidR="00706366" w:rsidRPr="0006719D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По результатам анализа был сделан вывод, что цель обучения латыни в интеллектуальном и культурном развитии учащихся должна отражать следующие компоненты: практический, интеллектуальный, культурно-образовательный, развивающий.</w:t>
      </w:r>
    </w:p>
    <w:p w:rsidR="00706366" w:rsidRPr="0006719D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Цель обучения латыни отражает приобретение грамматики и лексики, необходимых для чтения латинских текстов с помощью словаря. Важность этой цели заключается в том, что другие компоненты можно реализовать посредством изучения латинского языка и грамматики. Поэтому изучение грамматики латинского языка и ориентация на чтение произведений авторов античного периода принесут свои плоды в сочетании с опытом практической деятельности. Потому что без практики лексика и грамматика забываются очень быстро.</w:t>
      </w:r>
    </w:p>
    <w:p w:rsidR="00706366" w:rsidRPr="0006719D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Изучение латыни, как и изучение других языков, отражает цели логического мышления, единства воображения и сознания, ускорения мыслительных процессов. В процессе изучения латыни будущие медицинские работники получат возможность изучить медицинскую терминологию и сделать выводы о сфере применения любого лекарства.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В процессе обучения латинскому языку диагностика исходного состояния уровня интеллектуального и культурного развития учащихся осуществлялась на основе следующего плана: анализа образовательных программ и учебно-методических комплексов, созданных в предмет «Латинский язык и медицинская терминология»; определять уровень интеллектуального и культурного развития студентов на основе методов научного исследования; оценка эффективности интеллектуального и культурного развития учащихся посредством внеклассной деятельности.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Латинский язык и медицинская терминология преподаются в медицинских вузах на курсах высшего сестринского дела, стоматологии, терапии, педиатрии, медицинской биологии и медицинской профилактики. В учебных и нормативных документах целью преподавания данного предмета является ознакомление студентов с основными понятиями и категориями анатомического, клинического и фармацевтического разделов медицины на основе грамматических закономерностей и развитие навыков практического применения.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 xml:space="preserve">В качестве задач предмета определены: дать учащимся теоретические знания по анатомической терминологии, существительным, ударению, словарной форме существительных, качеству, адаптированному и неадаптированному определителю, формам единственного и множественного числа, видам существительных, согласованию, числу; в клинической терминологии запоминание греческого варианта латинских частей тела, суффиксации, префиксации, укоренения, правильного диагноза и неправильного диагноза; по фармакологии написать рецепт без грамматических ошибок, вооружиться методами наблюдения за глаголами, условными предложениями и командами, лекарственными растениями, лекарствами, кислотами, солями, оксидами и афоризмами, раскрыть актуальные проблемы науки, развить практические навыки о месте и роли латинского языка в медицине В рамках вопросов, которые реализуются в процессе освоения предмета «Латинский язык и основы медицинской терминологии» в образовательных программах, студенты должны усвоить основы анатомических знаний, правильно усвоить клиническую диагностику, иметь представление о как правильно выписать рецепт; знание морфологических, синтаксических методов в анатомическом, клиническом и фармацевтическом разделах и применение их на практике; Определено, что студенты должны уметь применять на практических занятиях методы анализа анатомических, клинических и фармацевтических терминов, делать выводы, собирать и использовать данные, необходимые для решения проблемной ситуации, объяснять научные понятия, владеть навыками принятия </w:t>
      </w:r>
      <w:r>
        <w:rPr>
          <w:rFonts w:ascii="Times New Roman" w:hAnsi="Times New Roman"/>
          <w:sz w:val="28"/>
          <w:szCs w:val="28"/>
          <w:lang w:val="ru-RU"/>
        </w:rPr>
        <w:t xml:space="preserve">решений проблемных ситуаций. 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Учебной программой не предусмотрена теоретическая подготовка, а освоение предмета организуется в рамках практических занятий. В ходе прохождения практики изучаются следующие вопросы: введение в медицинскую терминологию; латинский алфавит; гласные и согласные; термины, относящиеся к строению тела; правила акцентуации; анатомические термины, относящиеся к строению тела и головы; существительные: грамматические категории и словарная форма; тип лошади; кости, принадлежащие лицу, челюсти; качество: грамматическая категория и словарная форма; совместимость с лошадью; анатомические термины, относящиеся к полости рта; разнообразие сложных анатомических терминов; термины дыхательной системы; спряжение существительных; дыхательная система; уровни качества: сравнительный уровень (сердечно-сосудистый); повышенный уровень (в отношении системы кровообращения); употребление анатомических терминов в единственном числе; породы лошадей; форма множественного числа (мочевыделительная система); ориентировочная форма множественного числа (кости); употребление головного и указательного падежа во множественном числе в анатомических терминах (слуховая система); число: порядковые и счетные числа; словообразование; морфема; суффиксация (строение тела и черепа (затылочный, височный, лобный); префиксация; клиническая терминология; строение тела и челюстно-лицевые клинические термины; дублеты, обозначающие части головы и названия их патологии (голова, небо, зубы); составление клинических терминов для органов дыхания и верхних конечностей; клинические термины (десны и десневые органы); клинические термины для тканей, секрета, возрастных ТЭ и дна полости рта; клинические термины для слюнных желез, жевательных мышц и их функций; введение в фармакологию; лекарственные формы ( относящихся к дыхательной системе); структура и форма рецепта (относящиеся к сердечной системе); применение (рецепт) таблеток, суппозиториев и глазных пленок в рецепте; химические элементы в рецепте; кислоты; оксиды в рецепте (относящиеся к дыхательной систе</w:t>
      </w:r>
      <w:r>
        <w:rPr>
          <w:rFonts w:ascii="Times New Roman" w:hAnsi="Times New Roman"/>
          <w:sz w:val="28"/>
          <w:szCs w:val="28"/>
          <w:lang w:val="ru-RU"/>
        </w:rPr>
        <w:t xml:space="preserve">ме), </w:t>
      </w:r>
      <w:r w:rsidRPr="0006719D">
        <w:rPr>
          <w:rFonts w:ascii="Times New Roman" w:hAnsi="Times New Roman"/>
          <w:sz w:val="28"/>
          <w:szCs w:val="28"/>
          <w:lang w:val="ru-RU"/>
        </w:rPr>
        <w:t>мочевыделительная система); соли в рецепте; катионы и анионы; сокращения в рецепте.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6719D">
        <w:rPr>
          <w:rFonts w:ascii="Times New Roman" w:hAnsi="Times New Roman"/>
          <w:sz w:val="28"/>
          <w:szCs w:val="28"/>
          <w:lang w:val="ru-RU"/>
        </w:rPr>
        <w:t>Анализ учебных программ показывает, что некоторые учебные материалы культурологического характера отражены только в предметах самостоятельного обучения: латинские мудрые слова и афоризмы; древнеримская культура; древнегреческая культура; История Олимпийских игр; Латинизм в современных языках (английском, французском); алхимия как необычное явление в средневековой культуре; история международной медицинской эмблемы; религиозная медицина; «Гаудеамус» (Студенческий гимн); медицина и искусство; знаменитые ораторы Древнего Рима; медицина в нумизматике; медицина в памятниках латинской и греческой литературы; Греческие и латинские эпиграммы о медицине и здоровье; семь чудес света; древнеримские писатели; древнегреческие писатели. Анализ образовательных программ и учебно-методических комплексов, подготовленных по предмету «Латинский язык и медицинская терминология», а также наблюдение за учебным процессом в высших медицинских учебных заведениях показывают, что в содержании обучения практически отсутствуют учебные материалы культурологического характера. Согласно приведенной информации, события и свидетельства древней культуры включаются только в самостоятельные работы студентов. Источники культурологического описания этой науки не отражены в списке литературы, представленном в программе.</w:t>
      </w:r>
    </w:p>
    <w:p w:rsidR="00706366" w:rsidRDefault="00706366" w:rsidP="0006719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Достижения науки педагогики показывают, что уровень интеллектуального развития учащихся определяется суммой знаний, умений и умственных действий, формируемых в процессе их усвоения, свободной опорой на них в процессе мышления, что обеспечивает приобретение новые знания и навыки на определенном уровне. Информация о современном состоянии интеллектуального развития студентов определялась с помощью специального наблюдения и психолого-педагогических методов диагностики. На основе материалов теоретических исследований в качестве важных качеств интеллекта были выделены: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- упрямство;</w:t>
      </w:r>
    </w:p>
    <w:p w:rsidR="00706366" w:rsidRPr="000352FA" w:rsidRDefault="00706366" w:rsidP="000352FA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0352FA">
        <w:rPr>
          <w:rFonts w:ascii="Times New Roman" w:hAnsi="Times New Roman"/>
          <w:sz w:val="28"/>
          <w:szCs w:val="28"/>
          <w:lang w:val="ru-RU"/>
        </w:rPr>
        <w:t xml:space="preserve">  - глубина ума;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- гибкость и адаптивность мышления;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- логичность мысли;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- доказать идею;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- критическое мышление;</w:t>
      </w:r>
    </w:p>
    <w:p w:rsidR="00706366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- круг мышления.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Эти качества, в свою очередь, были определены как критерии интеллектуального развития учащихся. По каждому критерию определялись показатели, помогающие оценить текущее состояние интеллектуального развития учащихся, а затем с помощью тестов и анкет были получены количественные данные.</w:t>
      </w:r>
    </w:p>
    <w:p w:rsidR="00706366" w:rsidRDefault="00706366" w:rsidP="000352FA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0352FA">
        <w:rPr>
          <w:rFonts w:ascii="Times New Roman" w:hAnsi="Times New Roman"/>
          <w:sz w:val="28"/>
          <w:szCs w:val="28"/>
          <w:lang w:val="ru-RU"/>
        </w:rPr>
        <w:t>Анализ полученных результатов мотивационен в контрольной группе (высокий уровень - 18%; средний уровень - 47%), комплексный анализ изучаемого объекта (высокий уровень - 19%; средний уровень - 63%), умение использовать Доказательства и законы, подтверждающие мнения и выводы (высокий уровень - 20%; средний уровень - 60%) показали, что показатели были хорошо сформированы по сравнению с другими критериями.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В экспериментальной группе - интерес к обучению (высокий уровень - 19%; средний уровень - 48%), вникновению в суть вещей и событий, выделению основной мысли, пониманию взаимосвязи между вещами и событиями (высокий уровень - 18%; средний уровень - 43%)) наблюдались высокие результаты.</w:t>
      </w:r>
    </w:p>
    <w:p w:rsidR="00706366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Гибкость и адаптивность мышления в обеих группах - способность использовать имеющиеся знания и опыт, быстро использовать предметы в новых ситуациях и отношениях, преодолевать возникшие трудности (в контрольной группе - на 50% более низкий уровень, в экспериментальной группе - 53% нижний уровень); критическое мышление – строгая оценка результатов мыслительной деятельности, отказ от заблуждений и выводов, внесение корректировок (нижний уровень на 45% в контрольной группе, нижний уровень на 45% в экспериментальной группе); сравнительно слабо развиты такие интеллектуальные качества, как широта мышления - способность комплексно охватить объект интеллектуальной деятельности, способность принимать альтернативные решения (контрольная группа - 49% нижнего уровня, экспериментальная группа - 43% нижнего уровня).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Также в процессе экспериментальной работы анализировался уровень культурного развития учащихся как процесс овладения культурой цивилизации, связанной с изучаемым языком. Полученные результаты показали, что в контрольной и экспериментальной группах знания, умения и квалификация студентов о древней культуре были недостаточно развиты. Обе группы респондентов имели относительно высокий уровень знаний о древней греко-римской культуре, связанной с другими дисциплинами, другими областями, а также умение использовать латынь в практической деятельности.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Самые низкие показатели четко наблюдались по критериям, связанным с культурными артефактами, авторами философских и художественных произведений, мифологией, ритуалами (в контрольной группе - от 57% до 73% - нижний уровень; в экспериментальной группе - от 58% до 69). % - Нижний уровень).</w:t>
      </w:r>
    </w:p>
    <w:p w:rsidR="00706366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На основе анализа неаудиальных занятий по преподаванию латыни в медицинских вузах были сделаны следующие выводы: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1) неаудиальные формы интеллектуального и культурного развития студентов, широко используемые в системе высшего медицинского образования, могут включать научно-практические конференции, научные олимпиады, факультативные занятия, конкурсы научных работ, периодические издания; 2) серьезный недостаток в организации научно-практических конференций связан с тем, что они проводятся только на основе участия студентов, информация не доставляется вовремя, культура подготовки и чтения лекций студентов низкая. недостаточно развит; 3) помимо научных олимпиад целесообразно проводить в медицинских вузах ежегодную олимпиаду по предмету «Латинский язык», которая является отборочной к интернет-олимпиадам и конференциям; 4) студенты имеют возможность получать информацию о конкурсах интеллектуального и культурного развития студентов через Интернет и на кафедрах. Однако в большинстве случаев они не знают об этом выборе. По этой причине кафедрам и органам студенческого самоуправления целесообразно инициировать проведение конкурсов в вузах. Только на основе взаимного сотрудничества этих структур можно добиться эффективности таких соревнований и обеспечить активное участие студентов;</w:t>
      </w:r>
    </w:p>
    <w:p w:rsidR="00706366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5) факультативные занятия как факультативная форма организации образования, организуемая по интересующим студентов вопросам, в настоящее время отсутствуют в большинстве вузов, поскольку цель инициативы, проявляемой «снизу», неизвестна даже тогда, когда существует вероятность того, что студенты могут предложить учителю курс обучения, подходящий для интересующей его области; во-вторых, учителям не платят за проведение факультативного обучения. Следует отметить, что в этом процессе не в полной мере используется высокий научный и интеллектуальный потенциал профессоров и студентов. Факультативные курсы, организованные на основе таких направлений, как современные науки, особенно латынь с междисциплинарным описанием, современные европейские языки, древняя и средневековая латиноязычная культура, могут стать прочной основой для проведения студентами научных исследований.</w:t>
      </w:r>
    </w:p>
    <w:p w:rsidR="00706366" w:rsidRDefault="00706366" w:rsidP="000352FA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06366" w:rsidRPr="00C017B8" w:rsidRDefault="00706366" w:rsidP="000352FA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017B8">
        <w:rPr>
          <w:rFonts w:ascii="Times New Roman" w:hAnsi="Times New Roman"/>
          <w:b/>
          <w:sz w:val="28"/>
          <w:szCs w:val="28"/>
          <w:lang w:val="ru-RU"/>
        </w:rPr>
        <w:t>Воспользованные литературы:</w:t>
      </w:r>
    </w:p>
    <w:p w:rsidR="00706366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1. Зелинский Ф. Древний мир и ми. М., 1997. - С.18-19.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2. Кацман Н. Методика обучения латинскому языку. - М., 2003. - С9-24.</w:t>
      </w:r>
    </w:p>
    <w:p w:rsidR="00706366" w:rsidRPr="000352FA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352FA">
        <w:rPr>
          <w:rFonts w:ascii="Times New Roman" w:hAnsi="Times New Roman"/>
          <w:sz w:val="28"/>
          <w:szCs w:val="28"/>
          <w:lang w:val="ru-RU"/>
        </w:rPr>
        <w:t>3. Подосинов А. Латинский язык в школе. История, преподавание и методика. - М., 1996. - С.32.</w:t>
      </w:r>
    </w:p>
    <w:p w:rsidR="00706366" w:rsidRDefault="00706366" w:rsidP="000352F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Pr="000352FA">
        <w:rPr>
          <w:rFonts w:ascii="Times New Roman" w:hAnsi="Times New Roman"/>
          <w:sz w:val="28"/>
          <w:szCs w:val="28"/>
          <w:lang w:val="ru-RU"/>
        </w:rPr>
        <w:t>Сивкунова Е. Формирование автономности студента лингвистического вуза на основе междисциплинарного взаимодействия учебных курсов (английского и латинского зазиков). Автореферат диссертации на исследование степи кандидатских педагогических наук. - М., 2002. -</w:t>
      </w:r>
    </w:p>
    <w:p w:rsidR="00706366" w:rsidRPr="0006719D" w:rsidRDefault="00706366" w:rsidP="000352FA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706366" w:rsidRPr="0006719D" w:rsidSect="009933C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366" w:rsidRDefault="00706366" w:rsidP="0006719D">
      <w:r>
        <w:separator/>
      </w:r>
    </w:p>
  </w:endnote>
  <w:endnote w:type="continuationSeparator" w:id="1">
    <w:p w:rsidR="00706366" w:rsidRDefault="00706366" w:rsidP="00067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366" w:rsidRDefault="00706366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706366" w:rsidRDefault="007063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366" w:rsidRDefault="00706366" w:rsidP="0006719D">
      <w:r>
        <w:separator/>
      </w:r>
    </w:p>
  </w:footnote>
  <w:footnote w:type="continuationSeparator" w:id="1">
    <w:p w:rsidR="00706366" w:rsidRDefault="00706366" w:rsidP="000671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19D"/>
    <w:rsid w:val="000352FA"/>
    <w:rsid w:val="00061D37"/>
    <w:rsid w:val="0006719D"/>
    <w:rsid w:val="005D533E"/>
    <w:rsid w:val="00706366"/>
    <w:rsid w:val="00794040"/>
    <w:rsid w:val="009332D5"/>
    <w:rsid w:val="009774BE"/>
    <w:rsid w:val="009933C1"/>
    <w:rsid w:val="00C017B8"/>
    <w:rsid w:val="00CD46AF"/>
    <w:rsid w:val="00D63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06719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71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71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719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71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71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719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6719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6719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6719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719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719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6719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6719D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6719D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6719D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6719D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6719D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6719D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0671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6719D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6719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6719D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6719D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6719D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06719D"/>
    <w:rPr>
      <w:szCs w:val="32"/>
    </w:rPr>
  </w:style>
  <w:style w:type="paragraph" w:styleId="ListParagraph">
    <w:name w:val="List Paragraph"/>
    <w:basedOn w:val="Normal"/>
    <w:uiPriority w:val="99"/>
    <w:qFormat/>
    <w:rsid w:val="0006719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6719D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06719D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6719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6719D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06719D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06719D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06719D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06719D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06719D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06719D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0671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6719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671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6719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7</Pages>
  <Words>9391</Words>
  <Characters>5353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</dc:creator>
  <cp:keywords/>
  <dc:description/>
  <cp:lastModifiedBy>Admin</cp:lastModifiedBy>
  <cp:revision>3</cp:revision>
  <dcterms:created xsi:type="dcterms:W3CDTF">2023-10-25T10:36:00Z</dcterms:created>
  <dcterms:modified xsi:type="dcterms:W3CDTF">2023-10-30T17:57:00Z</dcterms:modified>
</cp:coreProperties>
</file>