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1F9" w:rsidRPr="00700945" w:rsidRDefault="001551F9" w:rsidP="00FA6CE4">
      <w:pPr>
        <w:spacing w:after="0" w:line="240" w:lineRule="auto"/>
        <w:jc w:val="right"/>
        <w:rPr>
          <w:rFonts w:ascii="Times New Roman" w:hAnsi="Times New Roman"/>
          <w:b/>
          <w:bCs/>
          <w:sz w:val="28"/>
          <w:szCs w:val="28"/>
          <w:lang w:val="uk-UA"/>
        </w:rPr>
      </w:pPr>
      <w:r w:rsidRPr="00700945">
        <w:rPr>
          <w:rFonts w:ascii="Times New Roman" w:hAnsi="Times New Roman"/>
          <w:b/>
          <w:bCs/>
          <w:i/>
          <w:sz w:val="28"/>
          <w:szCs w:val="28"/>
          <w:lang w:val="uk-UA"/>
        </w:rPr>
        <w:t>Мисан Анастасія</w:t>
      </w:r>
    </w:p>
    <w:p w:rsidR="001551F9" w:rsidRDefault="001551F9" w:rsidP="00FA6CE4">
      <w:pPr>
        <w:spacing w:after="0" w:line="240" w:lineRule="auto"/>
        <w:jc w:val="right"/>
        <w:rPr>
          <w:rFonts w:ascii="Times New Roman" w:hAnsi="Times New Roman"/>
          <w:b/>
          <w:bCs/>
          <w:sz w:val="24"/>
          <w:szCs w:val="24"/>
          <w:lang w:val="uk-UA"/>
        </w:rPr>
      </w:pPr>
      <w:r>
        <w:rPr>
          <w:rFonts w:ascii="Times New Roman" w:hAnsi="Times New Roman"/>
          <w:b/>
          <w:bCs/>
          <w:sz w:val="28"/>
          <w:szCs w:val="28"/>
          <w:lang w:val="uk-UA"/>
        </w:rPr>
        <w:t xml:space="preserve">                                 (Україна, </w:t>
      </w:r>
      <w:r w:rsidRPr="00700945">
        <w:rPr>
          <w:rFonts w:ascii="Times New Roman" w:hAnsi="Times New Roman"/>
          <w:b/>
          <w:bCs/>
          <w:sz w:val="28"/>
          <w:szCs w:val="28"/>
          <w:lang w:val="uk-UA"/>
        </w:rPr>
        <w:t>Ізмаїл</w:t>
      </w:r>
      <w:r>
        <w:rPr>
          <w:rFonts w:ascii="Times New Roman" w:hAnsi="Times New Roman"/>
          <w:b/>
          <w:bCs/>
          <w:sz w:val="24"/>
          <w:szCs w:val="24"/>
          <w:lang w:val="uk-UA"/>
        </w:rPr>
        <w:t>)</w:t>
      </w:r>
    </w:p>
    <w:p w:rsidR="001551F9" w:rsidRDefault="001551F9" w:rsidP="00655068">
      <w:pPr>
        <w:spacing w:after="0" w:line="240" w:lineRule="auto"/>
        <w:rPr>
          <w:rFonts w:ascii="Times New Roman" w:hAnsi="Times New Roman"/>
          <w:b/>
          <w:bCs/>
          <w:sz w:val="24"/>
          <w:szCs w:val="24"/>
          <w:lang w:val="uk-UA"/>
        </w:rPr>
      </w:pPr>
    </w:p>
    <w:p w:rsidR="001551F9" w:rsidRDefault="001551F9" w:rsidP="00655068">
      <w:pPr>
        <w:spacing w:after="0" w:line="360" w:lineRule="auto"/>
        <w:ind w:firstLine="709"/>
        <w:contextualSpacing/>
        <w:jc w:val="center"/>
        <w:rPr>
          <w:rFonts w:ascii="Times New Roman" w:hAnsi="Times New Roman"/>
          <w:b/>
          <w:kern w:val="2"/>
          <w:sz w:val="28"/>
          <w:szCs w:val="28"/>
          <w:lang w:val="uk-UA"/>
        </w:rPr>
      </w:pPr>
      <w:r w:rsidRPr="00700945">
        <w:rPr>
          <w:rFonts w:ascii="Times New Roman" w:hAnsi="Times New Roman"/>
          <w:b/>
          <w:kern w:val="2"/>
          <w:sz w:val="28"/>
          <w:szCs w:val="28"/>
          <w:lang w:val="uk-UA"/>
        </w:rPr>
        <w:t>ОСОБЛИВОСТІ ПРОВЕДЕННЯ СОЦІАЛЬНО-ПСИХОЛОГІЧНОЇ РЕАБІЛІТАЦІЇ ВЕТЕРАНІВ АТО</w:t>
      </w:r>
    </w:p>
    <w:p w:rsidR="001551F9" w:rsidRPr="00700945" w:rsidRDefault="001551F9" w:rsidP="00655068">
      <w:pPr>
        <w:spacing w:after="0" w:line="360" w:lineRule="auto"/>
        <w:ind w:firstLine="709"/>
        <w:contextualSpacing/>
        <w:jc w:val="center"/>
        <w:rPr>
          <w:rFonts w:ascii="Times New Roman" w:hAnsi="Times New Roman"/>
          <w:b/>
          <w:kern w:val="2"/>
          <w:sz w:val="28"/>
          <w:szCs w:val="28"/>
          <w:lang w:val="uk-UA"/>
        </w:rPr>
      </w:pPr>
    </w:p>
    <w:p w:rsidR="001551F9" w:rsidRPr="000374C8" w:rsidRDefault="001551F9" w:rsidP="00655068">
      <w:pPr>
        <w:spacing w:after="0" w:line="360" w:lineRule="auto"/>
        <w:ind w:firstLine="709"/>
        <w:contextualSpacing/>
        <w:jc w:val="both"/>
        <w:rPr>
          <w:rFonts w:ascii="Times New Roman" w:hAnsi="Times New Roman"/>
          <w:kern w:val="2"/>
          <w:sz w:val="28"/>
          <w:szCs w:val="28"/>
          <w:lang w:val="uk-UA"/>
        </w:rPr>
      </w:pPr>
    </w:p>
    <w:p w:rsidR="001551F9" w:rsidRPr="00FA6CE4" w:rsidRDefault="001551F9" w:rsidP="00655068">
      <w:pPr>
        <w:spacing w:after="0" w:line="360" w:lineRule="auto"/>
        <w:ind w:firstLine="709"/>
        <w:contextualSpacing/>
        <w:jc w:val="both"/>
        <w:rPr>
          <w:rFonts w:ascii="Times New Roman" w:hAnsi="Times New Roman"/>
          <w:kern w:val="2"/>
          <w:sz w:val="28"/>
          <w:szCs w:val="28"/>
          <w:lang w:val="uk-UA"/>
        </w:rPr>
      </w:pPr>
      <w:r w:rsidRPr="000374C8">
        <w:rPr>
          <w:rFonts w:ascii="Times New Roman" w:hAnsi="Times New Roman"/>
          <w:kern w:val="2"/>
          <w:sz w:val="28"/>
          <w:szCs w:val="28"/>
          <w:lang w:val="uk-UA"/>
        </w:rPr>
        <w:t xml:space="preserve">Соціально-психологічна реабілітація ветеранів АТО є надзвичайно важливим процесом, спрямованим на відновлення психічного здоров'я та соціальної адаптації учасників бойових дій. </w:t>
      </w:r>
      <w:r w:rsidRPr="00FA6CE4">
        <w:rPr>
          <w:rFonts w:ascii="Times New Roman" w:hAnsi="Times New Roman"/>
          <w:kern w:val="2"/>
          <w:sz w:val="28"/>
          <w:szCs w:val="28"/>
          <w:lang w:val="uk-UA"/>
        </w:rPr>
        <w:t>Цейпроцесмає ряд особливостей, якінеобхідновраховувати для забезпеченняйогоефективності.</w:t>
      </w:r>
    </w:p>
    <w:p w:rsidR="001551F9" w:rsidRPr="00FA6CE4" w:rsidRDefault="001551F9" w:rsidP="00655068">
      <w:pPr>
        <w:spacing w:after="0" w:line="360" w:lineRule="auto"/>
        <w:ind w:firstLine="709"/>
        <w:contextualSpacing/>
        <w:jc w:val="both"/>
        <w:rPr>
          <w:rFonts w:ascii="Times New Roman" w:hAnsi="Times New Roman"/>
          <w:kern w:val="2"/>
          <w:sz w:val="28"/>
          <w:szCs w:val="28"/>
          <w:lang w:val="uk-UA"/>
        </w:rPr>
      </w:pPr>
      <w:r w:rsidRPr="00FA6CE4">
        <w:rPr>
          <w:rFonts w:ascii="Times New Roman" w:hAnsi="Times New Roman"/>
          <w:kern w:val="2"/>
          <w:sz w:val="28"/>
          <w:szCs w:val="28"/>
          <w:lang w:val="uk-UA"/>
        </w:rPr>
        <w:t>Перш за все, індивідуальнийпідхід є основоположним принципом реабілітаціїветеранів АТО. Коженучасникбойовихдіймаєунікальнийдосвід та реакцію на пережитіподії, щовимагаєрозробкиперсоналізованоїстратегіїреабілітації [1]. Цевключаєврахуванняособистісних характеристик, специфікитравматичногодосвіду, наявностіфізичних травм та іншихіндивідуальнихфакторів.</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FA6CE4">
        <w:rPr>
          <w:rFonts w:ascii="Times New Roman" w:hAnsi="Times New Roman"/>
          <w:kern w:val="2"/>
          <w:sz w:val="28"/>
          <w:szCs w:val="28"/>
          <w:lang w:val="uk-UA"/>
        </w:rPr>
        <w:t xml:space="preserve">Не меншважливою є комплексністьпідходу. Реабілітаціямаєохоплювати не лишепсихологічну, але й соціальну, медичну та професійнусферижиття ветерана [2]. </w:t>
      </w:r>
      <w:r w:rsidRPr="000374C8">
        <w:rPr>
          <w:rFonts w:ascii="Times New Roman" w:hAnsi="Times New Roman"/>
          <w:kern w:val="2"/>
          <w:sz w:val="28"/>
          <w:szCs w:val="28"/>
        </w:rPr>
        <w:t>Цеможевключатипсихотерапію, соціальнуадаптацію, медичнудопомогу, професійнуперепідготовку та іншіаспекти, необхідні для повноцінногоповернення до мирного життя.</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Ключовимелементом є робота з посттравматичнимстресовимрозладом (ПТСР), який часто зустрічаєтьсясередучасниківбойовихдій і можесерйозновпливатинаякістьжиття. Ефективними методами лікування ПТСР є когнітивно-поведінковатерапія та EMDR (десенсибілізація та репроцесуалізація за допомогоюруху очей) [3]. Ціметодидопомагають ветеранам переосмислититравматичнийдосвід та навчитисякеруватисвоїмиемоційнимиреакціями.</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Особливуувагуслідприділитизалученнюсім'ї ветерана до процесуреабілітації. Підтримкаблизькихвідіграєключову роль у відновленніпсихологічного стану учасникабойовихдій [4]. Сімейнатерапія, освітніпрограми для членівсім'ї та створеннягруппідтримки для родичівветеранівможутьзначнопідвищитиефективністьреабілітації.</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Важливозазначити, щотривалийсупровід є щеоднієюособливістюреабілітаціїветеранів АТО. Процесвідновлення не обмежуєтьсякороткотерміновимиінтервенціями, а потребуєдовготривалоїпідтримки та моніторингу стану ветерана [5]. Цеможевключатирегулярніконсультації, груповізаняття, програмипідтримки в громадітощо.</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Окремовартовідзначитинеобхідністьстворенняспеціалізованихцентрівреабілітації. У таких центрах ветераниможутьотриматикомплекснудопомогувідкомандифахівціврізногопрофілю [</w:t>
      </w:r>
      <w:r w:rsidRPr="000374C8">
        <w:rPr>
          <w:rFonts w:ascii="Times New Roman" w:hAnsi="Times New Roman"/>
          <w:kern w:val="2"/>
          <w:sz w:val="28"/>
          <w:szCs w:val="28"/>
          <w:lang w:val="uk-UA"/>
        </w:rPr>
        <w:t>5</w:t>
      </w:r>
      <w:r w:rsidRPr="000374C8">
        <w:rPr>
          <w:rFonts w:ascii="Times New Roman" w:hAnsi="Times New Roman"/>
          <w:kern w:val="2"/>
          <w:sz w:val="28"/>
          <w:szCs w:val="28"/>
        </w:rPr>
        <w:t>]. Ціцентриповинні бути обладнанінеобхіднимизасобами для проведеннярізнихвидівтерапії, фізичноїреабілітації та соціальноїадаптації.</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Суттєвим аспектом є врахування потреби в професійнійреінтеграціїветеранів. Цеможевключатипрофесійнеконсультування, перекваліфікацію, допомогу в пошукуроботи та адаптації на новому робочомумісці. Успішнапрофесійнареалізація часто є ключовим фактором у відновленнісамооцінки та соціальноїадаптаціїветеранів.</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Необхіднопідкреслитиважливістьгруповоїтерапії та створеннягрупвзаємодопомоги. Спілкування з іншими ветеранами, якімаютьподібнийдосвід, може бути надзвичайнокорисним для подоланняпочуттяізоляції та нормалізаціїемоційнихреакцій.</w:t>
      </w:r>
    </w:p>
    <w:p w:rsidR="001551F9" w:rsidRPr="000374C8" w:rsidRDefault="001551F9" w:rsidP="00655068">
      <w:pPr>
        <w:spacing w:after="0" w:line="360" w:lineRule="auto"/>
        <w:ind w:firstLine="709"/>
        <w:contextualSpacing/>
        <w:jc w:val="both"/>
        <w:rPr>
          <w:rFonts w:ascii="Times New Roman" w:hAnsi="Times New Roman"/>
          <w:kern w:val="2"/>
          <w:sz w:val="28"/>
          <w:szCs w:val="28"/>
          <w:lang w:val="uk-UA"/>
        </w:rPr>
      </w:pPr>
      <w:r w:rsidRPr="000374C8">
        <w:rPr>
          <w:rFonts w:ascii="Times New Roman" w:hAnsi="Times New Roman"/>
          <w:kern w:val="2"/>
          <w:sz w:val="28"/>
          <w:szCs w:val="28"/>
        </w:rPr>
        <w:t>Важливотакожзвернутиувагу на економічний аспект реабілітаціїветеранів. Інвестиції в програмисоціально-психологічноїреабілітації не лишепокращуютьякістьжиттяветеранів, але й маютьпозитивнийвплив на економікукраїни в довгостроковійперспективі. За оцінкамиекспертів, кожнагривня, вкладена в реабілітаціюветеранів, може принести до 3-4 гривеньекономічноївигоди через зменшеннявитрат на медичнеобслуговування, зниженнярівнябезробіттясередветеранів та підвищенняїхпродуктивностіпраці[4</w:t>
      </w:r>
      <w:r w:rsidRPr="000374C8">
        <w:rPr>
          <w:rFonts w:ascii="Times New Roman" w:hAnsi="Times New Roman"/>
          <w:kern w:val="2"/>
          <w:sz w:val="28"/>
          <w:szCs w:val="28"/>
          <w:lang w:val="uk-UA"/>
        </w:rPr>
        <w:t>,</w:t>
      </w:r>
      <w:r w:rsidRPr="000374C8">
        <w:rPr>
          <w:rFonts w:ascii="Times New Roman" w:hAnsi="Times New Roman"/>
          <w:kern w:val="2"/>
          <w:sz w:val="28"/>
          <w:szCs w:val="28"/>
        </w:rPr>
        <w:t xml:space="preserve"> 5]. </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FA6CE4">
        <w:rPr>
          <w:rFonts w:ascii="Times New Roman" w:hAnsi="Times New Roman"/>
          <w:kern w:val="2"/>
          <w:sz w:val="28"/>
          <w:szCs w:val="28"/>
          <w:lang w:val="uk-UA"/>
        </w:rPr>
        <w:t xml:space="preserve">Статистичніданіпідкреслюють масштаб проблеми та необхідністьефективноїреабілітаціїветеранів АТО. </w:t>
      </w:r>
      <w:r w:rsidRPr="000374C8">
        <w:rPr>
          <w:rFonts w:ascii="Times New Roman" w:hAnsi="Times New Roman"/>
          <w:kern w:val="2"/>
          <w:sz w:val="28"/>
          <w:szCs w:val="28"/>
        </w:rPr>
        <w:t>За данимиМіністерства у справах ветеранівУкраїни, станом на 2021 рік статус учасникабойовихдійотрималипонад 405 тисячосіб. При цьому, згідно з дослідженнями, проведенимиІнститутомпсихологіїімені Г.С. Костюка НАПН України, близько 30-40% ветеранівпотребуютьпрофесійноїпсихологічноїдопомоги для подоланнянаслідківучасті у бойовихдіях.</w:t>
      </w:r>
    </w:p>
    <w:p w:rsidR="001551F9" w:rsidRPr="000374C8" w:rsidRDefault="001551F9" w:rsidP="00655068">
      <w:pPr>
        <w:spacing w:after="0" w:line="360" w:lineRule="auto"/>
        <w:ind w:firstLine="709"/>
        <w:contextualSpacing/>
        <w:jc w:val="both"/>
        <w:rPr>
          <w:rFonts w:ascii="Times New Roman" w:hAnsi="Times New Roman"/>
          <w:kern w:val="2"/>
          <w:sz w:val="28"/>
          <w:szCs w:val="28"/>
          <w:lang w:val="uk-UA"/>
        </w:rPr>
      </w:pPr>
      <w:r w:rsidRPr="000374C8">
        <w:rPr>
          <w:rFonts w:ascii="Times New Roman" w:hAnsi="Times New Roman"/>
          <w:kern w:val="2"/>
          <w:sz w:val="28"/>
          <w:szCs w:val="28"/>
        </w:rPr>
        <w:t>Результатиміжнароднихдослідженьтакожпідтверджуютьважливістьсвоєчасної та якісноїреабілітації. За данимиамериканськихвчених, середветеранів, якіпройшликомплекснупрограмуреабілітації, рівеньсоціальноїадаптаціїзростає на 60-70%, а ризикрозвиткухронічних форм ПТСР знижується на 40-50%. Ціпоказникище раз підкреслюютьнеобхідністьвпровадженняефективнихпрограмсоціально-психологічноїреабілітації для українськихветеранів АТО.</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Культурна та духовнаскладовареабілітаціїветеранів АТО такожзаслуговує на увагу. Багатобійцівзнаходятьрозраду і сенс у народнихтрадиціях тавірі. Організаціякультурнихзаходів, творчихгуртків, можливостей для самовираження через мистецтвоможе стати важливоючастиноюзцілення. Співпраця з релігійними громадами та духовнимипровідникамиздатнанадатидодатковупідтримкутим ветеранам, для кого віра є важливою [3].</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Громадськапідтримка та визнання - ще один ключовийелементуспішноїреабілітації. Формування позитивного образу ветерана в суспільстві, визнанняїхньоговнеску на державному рівніможесуттєвовплинути на самооцінку та бажанняветеранівповернутися до мирного життя. Просвітницькіпрограми про проблемиветеранівсприятимутьформуваннюбільшдружньогосередовища для їхньоїадаптації.</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Вартозвернутиувагу і на особливостіреабілітаціїжінок-ветеранів. Вони можутьстикатися з унікальнимивикликами, якіпотребуютьокремогопідходу. Це і боротьбазі стереотипами, і наслідкипсихологічних травм, пов'язаних з насильствомпід час війни, і проблемизіздоров'ям. Спеціальніпрограмидляжінок-ветеранівможутьзначнопокращитиїхнюреабілітацію та повернення до звичногожиття [5].</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Сучаснітехнологіїтежвідіграютьважливу роль у реабілітації. Віртуальнареальність для лікування ПТСР, мобільнідодатки для стеження за психологічним станом, телемедицина для консультаційзіспеціалістами у віддалених районах - все церозширюєможливості та підвищуєефективністьдопомоги ветеранам АТО.</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Впровадженнясучаснихтехнологійвідкриваєновігоризонти у реабілітаціїветеранів. Окрімвжезгаданихвіртуальноїреальності та телемедицини, вартовідзначитивикористаннябіометричнихпристроїв для моніторингуфізіологічнихпоказниківстресу. Такігаджетидопомагаютьветеранам кращерозумітисвій стан та вчаснореагувати на тривожнісигнали. Штучнийінтелектзастосовується для аналізу великих обсягівданих, щодозволяєперсоналізуватипідходи до лікування та прогнозуватипотенційніризики. Розробляютьсятакожспеціалізованідодатки для смартфонів, якіпропонуютьтехнікирелаксації, медитації та керуваннястресом, адаптованісаме для ветеранів</w:t>
      </w:r>
      <w:r>
        <w:rPr>
          <w:rFonts w:ascii="Times New Roman" w:hAnsi="Times New Roman"/>
          <w:kern w:val="2"/>
          <w:sz w:val="28"/>
          <w:szCs w:val="28"/>
        </w:rPr>
        <w:t xml:space="preserve"> [2</w:t>
      </w:r>
      <w:r w:rsidRPr="000374C8">
        <w:rPr>
          <w:rFonts w:ascii="Times New Roman" w:hAnsi="Times New Roman"/>
          <w:kern w:val="2"/>
          <w:sz w:val="28"/>
          <w:szCs w:val="28"/>
        </w:rPr>
        <w:t xml:space="preserve">]. </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b/>
          <w:bCs/>
          <w:kern w:val="2"/>
          <w:sz w:val="28"/>
          <w:szCs w:val="28"/>
        </w:rPr>
        <w:t>Висновки.</w:t>
      </w:r>
      <w:r w:rsidRPr="000374C8">
        <w:rPr>
          <w:rFonts w:ascii="Times New Roman" w:hAnsi="Times New Roman"/>
          <w:kern w:val="2"/>
          <w:sz w:val="28"/>
          <w:szCs w:val="28"/>
        </w:rPr>
        <w:t>Соціально-психологічнареабілітаціяветеранів АТО - ценадзвичайноважливийпроцес для України, якийпотребуєвсебічного та персоналізованогопідходу. Досвідпоказує,щоуспішнареабілітаціябазується на врахуваннііндивідуальнихособливостей кожного бійця, охоплюючивсіаспектийогожиття: психологічний, соціальний, медичний та професійний.</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Ефективна робота з подолання ПТСР та іншихнаслідківвійнивимагаєзастосуванняновітніхтерапевтичних методик. Важливозалучати родину ветерана до процесувідновлення та забезпечуватитривалийпрофесійнийсупровід.</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Створенняспеціалізованихреабілітаційнихцентрівдозволяєнадаватикомплекснудопомогу силами різнопрофільнихфахівців. Не меншважливою є підтримка у професійнійадаптації та реінтеграціїветеранів у мирнежиття.</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Груповізаняття та взаємодопомогасередветеранівдопомагаютьподолативідчуттяізоляції. При розробціпрограмреабілітаціїнеобхідновраховуватикультурніособливості та специфікуукраїнського контексту.</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r w:rsidRPr="000374C8">
        <w:rPr>
          <w:rFonts w:ascii="Times New Roman" w:hAnsi="Times New Roman"/>
          <w:kern w:val="2"/>
          <w:sz w:val="28"/>
          <w:szCs w:val="28"/>
        </w:rPr>
        <w:t>Статистика підтверджуємасштабністьпроблеми та нагальну потребу в ефективнійреабілітаціїветеранів АТО. Інвестиції у такіпрограми не лишепокращуютьжиттяокремих людей, але й маютьпозитивнийвплив на економікукраїни в довгостроковійперспективі.</w:t>
      </w:r>
    </w:p>
    <w:p w:rsidR="001551F9" w:rsidRPr="000374C8" w:rsidRDefault="001551F9" w:rsidP="00655068">
      <w:pPr>
        <w:spacing w:after="0" w:line="360" w:lineRule="auto"/>
        <w:ind w:firstLine="709"/>
        <w:contextualSpacing/>
        <w:jc w:val="both"/>
        <w:rPr>
          <w:rFonts w:ascii="Times New Roman" w:hAnsi="Times New Roman"/>
          <w:kern w:val="2"/>
          <w:sz w:val="28"/>
          <w:szCs w:val="28"/>
        </w:rPr>
      </w:pPr>
    </w:p>
    <w:p w:rsidR="001551F9" w:rsidRPr="000374C8" w:rsidRDefault="001551F9" w:rsidP="00655068">
      <w:pPr>
        <w:spacing w:after="0" w:line="360" w:lineRule="auto"/>
        <w:ind w:firstLine="709"/>
        <w:contextualSpacing/>
        <w:jc w:val="both"/>
        <w:rPr>
          <w:rFonts w:ascii="Times New Roman" w:hAnsi="Times New Roman"/>
          <w:kern w:val="2"/>
          <w:sz w:val="28"/>
          <w:szCs w:val="28"/>
        </w:rPr>
      </w:pPr>
    </w:p>
    <w:p w:rsidR="001551F9" w:rsidRPr="000374C8" w:rsidRDefault="001551F9" w:rsidP="00655068">
      <w:pPr>
        <w:spacing w:after="0" w:line="360" w:lineRule="auto"/>
        <w:ind w:firstLine="709"/>
        <w:contextualSpacing/>
        <w:jc w:val="both"/>
        <w:rPr>
          <w:rFonts w:ascii="Times New Roman" w:hAnsi="Times New Roman"/>
          <w:kern w:val="2"/>
          <w:sz w:val="28"/>
          <w:szCs w:val="28"/>
        </w:rPr>
      </w:pPr>
    </w:p>
    <w:p w:rsidR="001551F9" w:rsidRDefault="001551F9" w:rsidP="00655068">
      <w:pPr>
        <w:spacing w:after="0" w:line="360" w:lineRule="auto"/>
        <w:contextualSpacing/>
        <w:rPr>
          <w:rFonts w:ascii="Times New Roman" w:hAnsi="Times New Roman"/>
          <w:kern w:val="2"/>
          <w:sz w:val="28"/>
          <w:szCs w:val="28"/>
          <w:lang w:val="uk-UA"/>
        </w:rPr>
      </w:pPr>
    </w:p>
    <w:p w:rsidR="001551F9" w:rsidRPr="000374C8" w:rsidRDefault="001551F9" w:rsidP="00655068">
      <w:pPr>
        <w:spacing w:after="0" w:line="360" w:lineRule="auto"/>
        <w:contextualSpacing/>
        <w:jc w:val="center"/>
        <w:rPr>
          <w:rFonts w:ascii="Times New Roman" w:hAnsi="Times New Roman"/>
          <w:kern w:val="2"/>
          <w:sz w:val="28"/>
          <w:szCs w:val="28"/>
          <w:lang w:val="uk-UA"/>
        </w:rPr>
      </w:pPr>
      <w:r w:rsidRPr="000374C8">
        <w:rPr>
          <w:rFonts w:ascii="Times New Roman" w:hAnsi="Times New Roman"/>
          <w:kern w:val="2"/>
          <w:sz w:val="28"/>
          <w:szCs w:val="28"/>
          <w:lang w:val="uk-UA"/>
        </w:rPr>
        <w:t>СПИСКИ ВИКОРИСТАНИХ ДЖЕРЕЛ</w:t>
      </w:r>
    </w:p>
    <w:p w:rsidR="001551F9" w:rsidRPr="000374C8" w:rsidRDefault="001551F9" w:rsidP="00655068">
      <w:pPr>
        <w:numPr>
          <w:ilvl w:val="0"/>
          <w:numId w:val="1"/>
        </w:numPr>
        <w:spacing w:after="0" w:line="360" w:lineRule="auto"/>
        <w:ind w:left="0" w:firstLine="0"/>
        <w:contextualSpacing/>
        <w:jc w:val="both"/>
        <w:rPr>
          <w:rFonts w:ascii="Times New Roman" w:hAnsi="Times New Roman"/>
          <w:kern w:val="2"/>
          <w:sz w:val="28"/>
          <w:szCs w:val="28"/>
        </w:rPr>
      </w:pPr>
      <w:r w:rsidRPr="00FA6CE4">
        <w:rPr>
          <w:rFonts w:ascii="Times New Roman" w:hAnsi="Times New Roman"/>
          <w:kern w:val="2"/>
          <w:sz w:val="28"/>
          <w:szCs w:val="28"/>
          <w:lang w:val="uk-UA"/>
        </w:rPr>
        <w:t xml:space="preserve">Марценковський І.А., Марценковська І.І., Здорик І.Ф. Охоронапсихічногоздоров'явійськовослужбовців та ветеранів. </w:t>
      </w:r>
      <w:r w:rsidRPr="000374C8">
        <w:rPr>
          <w:rFonts w:ascii="Times New Roman" w:hAnsi="Times New Roman"/>
          <w:kern w:val="2"/>
          <w:sz w:val="28"/>
          <w:szCs w:val="28"/>
        </w:rPr>
        <w:t>Українськиймедичнийчасопис. 2019. № 2(2). С. 1-4.</w:t>
      </w:r>
    </w:p>
    <w:p w:rsidR="001551F9" w:rsidRPr="000374C8" w:rsidRDefault="001551F9" w:rsidP="00655068">
      <w:pPr>
        <w:numPr>
          <w:ilvl w:val="0"/>
          <w:numId w:val="1"/>
        </w:numPr>
        <w:spacing w:after="0" w:line="360" w:lineRule="auto"/>
        <w:ind w:left="0" w:firstLine="0"/>
        <w:contextualSpacing/>
        <w:jc w:val="both"/>
        <w:rPr>
          <w:rFonts w:ascii="Times New Roman" w:hAnsi="Times New Roman"/>
          <w:kern w:val="2"/>
          <w:sz w:val="28"/>
          <w:szCs w:val="28"/>
        </w:rPr>
      </w:pPr>
      <w:r w:rsidRPr="000374C8">
        <w:rPr>
          <w:rFonts w:ascii="Times New Roman" w:hAnsi="Times New Roman"/>
          <w:kern w:val="2"/>
          <w:sz w:val="28"/>
          <w:szCs w:val="28"/>
        </w:rPr>
        <w:t>Кокун О.М., Агаєв Н.А., Пішко І.О., Лозінська Н.С. Основипсихологічноїдопомогивійськовослужбовцям в умовахбойовихдій. Методичнийпосібник. Київ: НДЦ ГП ЗСУ, 2015. 170 с.</w:t>
      </w:r>
    </w:p>
    <w:p w:rsidR="001551F9" w:rsidRPr="000374C8" w:rsidRDefault="001551F9" w:rsidP="00655068">
      <w:pPr>
        <w:numPr>
          <w:ilvl w:val="0"/>
          <w:numId w:val="1"/>
        </w:numPr>
        <w:spacing w:after="0" w:line="360" w:lineRule="auto"/>
        <w:ind w:left="0" w:firstLine="0"/>
        <w:contextualSpacing/>
        <w:jc w:val="both"/>
        <w:rPr>
          <w:rFonts w:ascii="Times New Roman" w:hAnsi="Times New Roman"/>
          <w:kern w:val="2"/>
          <w:sz w:val="28"/>
          <w:szCs w:val="28"/>
        </w:rPr>
      </w:pPr>
      <w:r w:rsidRPr="000374C8">
        <w:rPr>
          <w:rFonts w:ascii="Times New Roman" w:hAnsi="Times New Roman"/>
          <w:kern w:val="2"/>
          <w:sz w:val="28"/>
          <w:szCs w:val="28"/>
        </w:rPr>
        <w:t>Чабан О.С., Франкова І.О. Сучаснітенденції в діагностиці та лікуванніпосттравматичногостресовогорозладу. НейроNews. 2015. № 2(66). С. 8-18.</w:t>
      </w:r>
    </w:p>
    <w:p w:rsidR="001551F9" w:rsidRPr="000374C8" w:rsidRDefault="001551F9" w:rsidP="00655068">
      <w:pPr>
        <w:numPr>
          <w:ilvl w:val="0"/>
          <w:numId w:val="1"/>
        </w:numPr>
        <w:spacing w:after="0" w:line="360" w:lineRule="auto"/>
        <w:ind w:left="0" w:firstLine="0"/>
        <w:contextualSpacing/>
        <w:jc w:val="both"/>
        <w:rPr>
          <w:rFonts w:ascii="Times New Roman" w:hAnsi="Times New Roman"/>
          <w:kern w:val="2"/>
          <w:sz w:val="28"/>
          <w:szCs w:val="28"/>
        </w:rPr>
      </w:pPr>
      <w:r w:rsidRPr="000374C8">
        <w:rPr>
          <w:rFonts w:ascii="Times New Roman" w:hAnsi="Times New Roman"/>
          <w:kern w:val="2"/>
          <w:sz w:val="28"/>
          <w:szCs w:val="28"/>
        </w:rPr>
        <w:t>Волошин П.В., Марута Н.О., Шестопалова Л.Ф. Діагностика, терапія та профілактика медико-психологічнихнаслідківбойовихдій в сучаснихумовах. Методичнірекомендації. Харків, 2014. 80 с.</w:t>
      </w:r>
    </w:p>
    <w:p w:rsidR="001551F9" w:rsidRPr="00A94504" w:rsidRDefault="001551F9" w:rsidP="00655068">
      <w:pPr>
        <w:numPr>
          <w:ilvl w:val="0"/>
          <w:numId w:val="1"/>
        </w:numPr>
        <w:spacing w:after="0" w:line="360" w:lineRule="auto"/>
        <w:ind w:left="0" w:firstLine="0"/>
        <w:contextualSpacing/>
        <w:jc w:val="both"/>
        <w:rPr>
          <w:rFonts w:ascii="Times New Roman" w:hAnsi="Times New Roman"/>
          <w:kern w:val="2"/>
          <w:sz w:val="28"/>
          <w:szCs w:val="28"/>
        </w:rPr>
      </w:pPr>
      <w:r w:rsidRPr="000374C8">
        <w:rPr>
          <w:rFonts w:ascii="Times New Roman" w:hAnsi="Times New Roman"/>
          <w:kern w:val="2"/>
          <w:sz w:val="28"/>
          <w:szCs w:val="28"/>
        </w:rPr>
        <w:t>Нaпрєєнко О.К., Петрина Н.Ю., Бурса О.В. Посттравматичнийстресовийрозлад у учасниківантитерористичноїоперації. Українськийвісникпсихоневрології. 2019. Т. 27, вип. 2. С. 33-38.</w:t>
      </w:r>
    </w:p>
    <w:p w:rsidR="001551F9" w:rsidRDefault="001551F9" w:rsidP="00655068">
      <w:pPr>
        <w:spacing w:after="0" w:line="360" w:lineRule="auto"/>
        <w:contextualSpacing/>
        <w:jc w:val="right"/>
        <w:rPr>
          <w:rFonts w:ascii="Times New Roman" w:hAnsi="Times New Roman"/>
          <w:b/>
          <w:kern w:val="2"/>
          <w:sz w:val="28"/>
          <w:szCs w:val="28"/>
          <w:lang w:val="uk-UA"/>
        </w:rPr>
      </w:pPr>
      <w:r w:rsidRPr="00A94504">
        <w:rPr>
          <w:rFonts w:ascii="Times New Roman" w:hAnsi="Times New Roman"/>
          <w:b/>
          <w:kern w:val="2"/>
          <w:sz w:val="28"/>
          <w:szCs w:val="28"/>
          <w:lang w:val="uk-UA"/>
        </w:rPr>
        <w:t>Науковий керівник:</w:t>
      </w:r>
    </w:p>
    <w:p w:rsidR="001551F9" w:rsidRDefault="001551F9" w:rsidP="00655068">
      <w:pPr>
        <w:spacing w:after="0" w:line="360" w:lineRule="auto"/>
        <w:contextualSpacing/>
        <w:jc w:val="right"/>
        <w:rPr>
          <w:rFonts w:ascii="Times New Roman" w:hAnsi="Times New Roman"/>
          <w:kern w:val="2"/>
          <w:sz w:val="28"/>
          <w:szCs w:val="28"/>
          <w:lang w:val="uk-UA"/>
        </w:rPr>
      </w:pPr>
      <w:r>
        <w:rPr>
          <w:rFonts w:ascii="Times New Roman" w:hAnsi="Times New Roman"/>
          <w:kern w:val="2"/>
          <w:sz w:val="28"/>
          <w:szCs w:val="28"/>
          <w:lang w:val="uk-UA"/>
        </w:rPr>
        <w:t>Кандидат</w:t>
      </w:r>
      <w:r w:rsidRPr="00A94504">
        <w:rPr>
          <w:rFonts w:ascii="Times New Roman" w:hAnsi="Times New Roman"/>
          <w:kern w:val="2"/>
          <w:sz w:val="28"/>
          <w:szCs w:val="28"/>
          <w:lang w:val="uk-UA"/>
        </w:rPr>
        <w:t xml:space="preserve"> педагогічних наук,Рубан Ася Костянтинівна</w:t>
      </w:r>
      <w:r>
        <w:rPr>
          <w:rFonts w:ascii="Times New Roman" w:hAnsi="Times New Roman"/>
          <w:kern w:val="2"/>
          <w:sz w:val="28"/>
          <w:szCs w:val="28"/>
          <w:lang w:val="uk-UA"/>
        </w:rPr>
        <w:t>.</w:t>
      </w:r>
    </w:p>
    <w:sectPr w:rsidR="001551F9" w:rsidSect="00A22A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D7933"/>
    <w:multiLevelType w:val="hybridMultilevel"/>
    <w:tmpl w:val="EEC0F7D0"/>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5B09"/>
    <w:rsid w:val="000070CF"/>
    <w:rsid w:val="000374C8"/>
    <w:rsid w:val="001551F9"/>
    <w:rsid w:val="00201FE8"/>
    <w:rsid w:val="00655068"/>
    <w:rsid w:val="0069399A"/>
    <w:rsid w:val="00700945"/>
    <w:rsid w:val="00A22A54"/>
    <w:rsid w:val="00A94504"/>
    <w:rsid w:val="00E65B09"/>
    <w:rsid w:val="00F139FB"/>
    <w:rsid w:val="00FA6C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068"/>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139F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5368</Words>
  <Characters>3061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4</cp:revision>
  <dcterms:created xsi:type="dcterms:W3CDTF">2024-08-20T22:16:00Z</dcterms:created>
  <dcterms:modified xsi:type="dcterms:W3CDTF">2024-09-30T06:55:00Z</dcterms:modified>
</cp:coreProperties>
</file>