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9AB" w:rsidRPr="007D69CF" w:rsidRDefault="00A779AB" w:rsidP="00054479">
      <w:pPr>
        <w:spacing w:after="120" w:line="24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D69CF">
        <w:rPr>
          <w:rFonts w:ascii="Times New Roman" w:hAnsi="Times New Roman"/>
          <w:b/>
          <w:color w:val="000000"/>
          <w:sz w:val="28"/>
          <w:szCs w:val="28"/>
          <w:lang w:val="uk-UA"/>
        </w:rPr>
        <w:t>Алла Шаповалова, Анастасія Боровик</w:t>
      </w:r>
    </w:p>
    <w:p w:rsidR="00A779AB" w:rsidRPr="007D69CF" w:rsidRDefault="00A779AB" w:rsidP="00054479">
      <w:pPr>
        <w:spacing w:after="120" w:line="24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D69CF">
        <w:rPr>
          <w:rFonts w:ascii="Times New Roman" w:hAnsi="Times New Roman"/>
          <w:b/>
          <w:color w:val="000000"/>
          <w:sz w:val="28"/>
          <w:szCs w:val="28"/>
          <w:lang w:val="uk-UA"/>
        </w:rPr>
        <w:t>(Київ, Україна)</w:t>
      </w:r>
    </w:p>
    <w:p w:rsidR="00A779AB" w:rsidRPr="002232FB" w:rsidRDefault="00A779AB" w:rsidP="00054479">
      <w:pPr>
        <w:spacing w:after="12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779AB" w:rsidRPr="002232FB" w:rsidRDefault="00A779AB" w:rsidP="007F2C27">
      <w:pPr>
        <w:spacing w:after="12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b/>
          <w:color w:val="000000"/>
          <w:sz w:val="28"/>
          <w:szCs w:val="28"/>
          <w:lang w:val="uk-UA"/>
        </w:rPr>
        <w:t>ОБЛІКОВА ПОЛІТИКА ЩОДО ЗАПАСІВ ПІДПРИЄМСТВА ЗА МІЖНАРОДНИМИ СТАНДАРТАМИ ФІНАНСОВОЇ ЗВІТНОСТІ</w:t>
      </w:r>
    </w:p>
    <w:p w:rsidR="00A779AB" w:rsidRPr="002232FB" w:rsidRDefault="00A779AB" w:rsidP="008F42CC">
      <w:pPr>
        <w:spacing w:after="12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A779AB" w:rsidRPr="002232FB" w:rsidRDefault="00A779AB" w:rsidP="0005447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Облікова політика є фундаментальним важелем організації та управління діяльністю будь-якого підприємства. Вона дозволяє останньому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ефективно налагоджувати свою фінансово-господарську діяльність через врахування інтересів та індивідуальних особливостей діяльності підприємства при  формуванні і функціонуванні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його системи бухгалтерського обліку та безпосередньо впливає на прийняття управлінських рішень. З огляду на це та, беручи до уваги процес євроінтеграції України, розширення в Україні сфери застосування Міжнародних стандартів фінансової звітності (далі  - МСФЗ)  все більш важливим постає питання формування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облікової політики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підприємств (зокрема,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 xml:space="preserve">і щодо запасів)відповідно міжнародним стандартам бухгалтерського обліку та фінансової звітності. </w:t>
      </w:r>
    </w:p>
    <w:p w:rsidR="00A779AB" w:rsidRPr="002232FB" w:rsidRDefault="00A779AB" w:rsidP="0005447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Згідно з Законом України «Про бухгалтерський облік та фінансову звітність в Україні» облікова політика – це «сукупність принципів, методів і процедур, що використовуються підприємством для ведення бухгалтерського обліку, складання та подання фінансової звітності» [</w:t>
      </w:r>
      <w:fldSimple w:instr=" REF _Ref185792260 \r \h  \* MERGEFORMAT ">
        <w:r w:rsidRPr="002232FB">
          <w:rPr>
            <w:rFonts w:ascii="Times New Roman" w:hAnsi="Times New Roman"/>
            <w:color w:val="000000"/>
            <w:sz w:val="28"/>
            <w:szCs w:val="28"/>
            <w:lang w:val="uk-UA"/>
          </w:rPr>
          <w:t>4</w:t>
        </w:r>
      </w:fldSimple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]. В свою чергу, заМСБО 8 «Облікові політики, зміни в облікових політиках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помилки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»,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облікові політики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 xml:space="preserve"> визначено, як «конкретні принципи, основи, домовленості, правила та практика, застосовані суб'єктом господарювання при складанні та поданні фінансової звітності» [</w:t>
      </w:r>
      <w:fldSimple w:instr=" REF _Ref185792354 \r \h  \* MERGEFORMAT ">
        <w:r w:rsidRPr="002232FB">
          <w:rPr>
            <w:rFonts w:ascii="Times New Roman" w:hAnsi="Times New Roman"/>
            <w:color w:val="000000"/>
            <w:sz w:val="28"/>
            <w:szCs w:val="28"/>
            <w:lang w:val="uk-UA"/>
          </w:rPr>
          <w:t>2</w:t>
        </w:r>
      </w:fldSimple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 xml:space="preserve">].В цьому контексті слід зауважити, що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на відміну від національної практики міжнародні стандарти оперують поняттям облікових політик виключно щодо фінансової звітності, а не ведення бухгалтерського обліку в цілому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779AB" w:rsidRPr="002232FB" w:rsidRDefault="00A779AB" w:rsidP="0005447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Важливість облікової політики на підприємстві обумовлюється вїї сприянні достовірності відображення в обліку та фінансовій звітності наслідків всіх господарських операцій, прозорості фінансової звітності та ефективному управлінню бізнес-процесами. Також не менш важливою характеристикою облікової політики є те, що підприємство має можливість самостійно формувати і, у визначених законодавством випадках, змінювати свою облікову політику, що дозволяє гармонійно побудувати бухгалтерський облік в цілях забезпечення інф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ормаційних потреб користувачів. 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Створення ефективної облікової політики підприємства, зокрема щодо його запасів, сприятиме:</w:t>
      </w:r>
    </w:p>
    <w:p w:rsidR="00A779AB" w:rsidRPr="002232FB" w:rsidRDefault="00A779AB" w:rsidP="00054479">
      <w:pPr>
        <w:pStyle w:val="ListParagraph"/>
        <w:numPr>
          <w:ilvl w:val="0"/>
          <w:numId w:val="2"/>
        </w:numPr>
        <w:spacing w:after="0" w:line="360" w:lineRule="auto"/>
        <w:ind w:left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оптимізації управління запасами та їхньому контролю;</w:t>
      </w:r>
    </w:p>
    <w:p w:rsidR="00A779AB" w:rsidRPr="002232FB" w:rsidRDefault="00A779AB" w:rsidP="00054479">
      <w:pPr>
        <w:pStyle w:val="ListParagraph"/>
        <w:numPr>
          <w:ilvl w:val="0"/>
          <w:numId w:val="2"/>
        </w:numPr>
        <w:spacing w:after="0" w:line="360" w:lineRule="auto"/>
        <w:ind w:left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наданню корисної економічної інформації для користувачів, зокрема інвесторів;</w:t>
      </w:r>
    </w:p>
    <w:p w:rsidR="00A779AB" w:rsidRPr="002232FB" w:rsidRDefault="00A779AB" w:rsidP="00054479">
      <w:pPr>
        <w:pStyle w:val="ListParagraph"/>
        <w:numPr>
          <w:ilvl w:val="0"/>
          <w:numId w:val="2"/>
        </w:numPr>
        <w:spacing w:after="0" w:line="360" w:lineRule="auto"/>
        <w:ind w:left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оптимізації податкових аспектів через вибір відповідних методів оцінки та списання запасів;</w:t>
      </w:r>
    </w:p>
    <w:p w:rsidR="00A779AB" w:rsidRPr="00BA3697" w:rsidRDefault="00A779AB" w:rsidP="00BA3697">
      <w:pPr>
        <w:pStyle w:val="ListParagraph"/>
        <w:numPr>
          <w:ilvl w:val="0"/>
          <w:numId w:val="2"/>
        </w:numPr>
        <w:spacing w:after="0" w:line="360" w:lineRule="auto"/>
        <w:ind w:left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полегшенню пр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оведення аудиторських перевірок</w:t>
      </w:r>
      <w:r w:rsidRPr="00BA3697">
        <w:rPr>
          <w:rFonts w:ascii="Times New Roman" w:hAnsi="Times New Roman"/>
          <w:color w:val="000000"/>
          <w:sz w:val="28"/>
          <w:szCs w:val="28"/>
          <w:lang w:val="uk-UA"/>
        </w:rPr>
        <w:t>[</w:t>
      </w:r>
      <w:fldSimple w:instr=" REF _Ref185792361 \r \h  \* MERGEFORMAT ">
        <w:r w:rsidRPr="00BA3697">
          <w:rPr>
            <w:rFonts w:ascii="Times New Roman" w:hAnsi="Times New Roman"/>
            <w:color w:val="000000"/>
            <w:sz w:val="28"/>
            <w:szCs w:val="28"/>
            <w:lang w:val="uk-UA"/>
          </w:rPr>
          <w:t>5</w:t>
        </w:r>
      </w:fldSimple>
      <w:r w:rsidRPr="00BA3697">
        <w:rPr>
          <w:rFonts w:ascii="Times New Roman" w:hAnsi="Times New Roman"/>
          <w:color w:val="000000"/>
          <w:sz w:val="28"/>
          <w:szCs w:val="28"/>
          <w:lang w:val="uk-UA"/>
        </w:rPr>
        <w:t>].</w:t>
      </w:r>
    </w:p>
    <w:p w:rsidR="00A779AB" w:rsidRPr="002232FB" w:rsidRDefault="00A779AB" w:rsidP="00054479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Розробка облікової політики щодо запасів має на меті встановити єдиний підхід до їхнього обліку на підприємстві задля максимально ефективного управління ними.</w:t>
      </w:r>
    </w:p>
    <w:p w:rsidR="00A779AB" w:rsidRPr="002232FB" w:rsidRDefault="00A779AB" w:rsidP="00054479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Основні елементи облікової політики щодо запасів відповідно до Міжнародного стандарту бухгалтерського обліку2 «Запаси» (далі – МСБО 2) представлені в табл. 1.</w:t>
      </w:r>
    </w:p>
    <w:p w:rsidR="00A779AB" w:rsidRPr="002232FB" w:rsidRDefault="00A779AB" w:rsidP="00054479">
      <w:pPr>
        <w:spacing w:after="120" w:line="360" w:lineRule="auto"/>
        <w:ind w:firstLine="709"/>
        <w:jc w:val="right"/>
        <w:rPr>
          <w:rFonts w:ascii="Times New Roman" w:hAnsi="Times New Roman"/>
          <w:i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i/>
          <w:color w:val="000000"/>
          <w:sz w:val="28"/>
          <w:szCs w:val="28"/>
          <w:lang w:val="uk-UA"/>
        </w:rPr>
        <w:t>Таблиця 1</w:t>
      </w:r>
    </w:p>
    <w:p w:rsidR="00A779AB" w:rsidRPr="002232FB" w:rsidRDefault="00A779AB" w:rsidP="00054479">
      <w:pPr>
        <w:spacing w:after="120" w:line="36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b/>
          <w:color w:val="000000"/>
          <w:sz w:val="28"/>
          <w:szCs w:val="28"/>
          <w:lang w:val="uk-UA"/>
        </w:rPr>
        <w:t>Основні елементи облікової політики щодо запасів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7052"/>
      </w:tblGrid>
      <w:tr w:rsidR="00A779AB" w:rsidRPr="000C25C9" w:rsidTr="000C25C9">
        <w:tc>
          <w:tcPr>
            <w:tcW w:w="2694" w:type="dxa"/>
          </w:tcPr>
          <w:p w:rsidR="00A779AB" w:rsidRPr="000C25C9" w:rsidRDefault="00A779AB" w:rsidP="000C25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Елемент облікової політики</w:t>
            </w:r>
          </w:p>
        </w:tc>
        <w:tc>
          <w:tcPr>
            <w:tcW w:w="7052" w:type="dxa"/>
          </w:tcPr>
          <w:p w:rsidR="00A779AB" w:rsidRPr="000C25C9" w:rsidRDefault="00A779AB" w:rsidP="000C25C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b/>
                <w:color w:val="000000"/>
                <w:sz w:val="26"/>
                <w:szCs w:val="26"/>
                <w:lang w:val="uk-UA"/>
              </w:rPr>
              <w:t>Вимоги МСБО 2</w:t>
            </w:r>
          </w:p>
        </w:tc>
      </w:tr>
      <w:tr w:rsidR="00A779AB" w:rsidRPr="000C25C9" w:rsidTr="000C25C9">
        <w:tc>
          <w:tcPr>
            <w:tcW w:w="2694" w:type="dxa"/>
          </w:tcPr>
          <w:p w:rsidR="00A779AB" w:rsidRPr="000C25C9" w:rsidRDefault="00A779AB" w:rsidP="000C25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i/>
                <w:color w:val="000000"/>
                <w:sz w:val="26"/>
                <w:szCs w:val="26"/>
                <w:lang w:val="uk-UA"/>
              </w:rPr>
              <w:t>Оцінка запасів</w:t>
            </w:r>
          </w:p>
        </w:tc>
        <w:tc>
          <w:tcPr>
            <w:tcW w:w="7052" w:type="dxa"/>
          </w:tcPr>
          <w:p w:rsidR="00A779AB" w:rsidRPr="000C25C9" w:rsidRDefault="00A779AB" w:rsidP="000C25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Запаси оцінюють за меншою з таких двох величин: собівартість та чиста вартість реалізації.</w:t>
            </w:r>
          </w:p>
        </w:tc>
      </w:tr>
      <w:tr w:rsidR="00A779AB" w:rsidRPr="007D69CF" w:rsidTr="000C25C9">
        <w:tc>
          <w:tcPr>
            <w:tcW w:w="2694" w:type="dxa"/>
          </w:tcPr>
          <w:p w:rsidR="00A779AB" w:rsidRPr="000C25C9" w:rsidRDefault="00A779AB" w:rsidP="000C25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i/>
                <w:color w:val="000000"/>
                <w:sz w:val="26"/>
                <w:szCs w:val="26"/>
                <w:lang w:val="uk-UA"/>
              </w:rPr>
              <w:t>Собівартість запасів</w:t>
            </w:r>
          </w:p>
        </w:tc>
        <w:tc>
          <w:tcPr>
            <w:tcW w:w="7052" w:type="dxa"/>
          </w:tcPr>
          <w:p w:rsidR="00A779AB" w:rsidRPr="000C25C9" w:rsidRDefault="00A779AB" w:rsidP="000C25C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Собівартість запасів повинна включати всі витрати на придбання, витрати на переробку та інші витрати, понесені </w:t>
            </w:r>
            <w:r w:rsidRPr="000C25C9"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>під час доставки запасів до їх теперішнього місцезнаходження та приведення їх у теперішній стан.</w:t>
            </w:r>
          </w:p>
          <w:p w:rsidR="00A779AB" w:rsidRPr="000C25C9" w:rsidRDefault="00A779AB" w:rsidP="000C25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Інші витрати включаються в собівартість запасів лише тією мірою, якою вони були понесені при доставці запасів до їх теперішнього місцезнаходження та приведення в теперішній стан. Наприклад, може бути доцільним включати в собівартість запасів невиробничі накладні витрати або витрати на проектування продукції для конкретних клієнтів.</w:t>
            </w:r>
          </w:p>
          <w:p w:rsidR="00A779AB" w:rsidRPr="000C25C9" w:rsidRDefault="00A779AB" w:rsidP="000C25C9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C25C9">
              <w:rPr>
                <w:rFonts w:ascii="Times New Roman" w:hAnsi="Times New Roman"/>
                <w:bCs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За обмежених обставин, визначених </w:t>
            </w: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МСБО 23 «Витрати на позики», до собівартості запасів можуть включатися витрати на позики.</w:t>
            </w:r>
          </w:p>
          <w:p w:rsidR="00A779AB" w:rsidRPr="000C25C9" w:rsidRDefault="00A779AB" w:rsidP="000C25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Виключаються із собівартості запасів і визнаються як витрати періоду, в якому вони понесені, такі витрати, як: понаднормові відходи матеріалів, витрати на оплату праці або інші виробничі витрати; витрати на зберігання, крім тих витрат, які зумовлені виробничим процесом і є необхідними для підготовки до наступного етапу виробництва; адміністративні накладні витрати, не пов’язані з доставкою запасів до їх теперішнього місцезнаходження та приведенням у теперішній стан; та витрати на продаж.</w:t>
            </w:r>
          </w:p>
        </w:tc>
      </w:tr>
      <w:tr w:rsidR="00A779AB" w:rsidRPr="000C25C9" w:rsidTr="000C25C9">
        <w:tc>
          <w:tcPr>
            <w:tcW w:w="2694" w:type="dxa"/>
          </w:tcPr>
          <w:p w:rsidR="00A779AB" w:rsidRPr="000C25C9" w:rsidRDefault="00A779AB" w:rsidP="000C25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i/>
                <w:color w:val="000000"/>
                <w:sz w:val="26"/>
                <w:szCs w:val="26"/>
                <w:lang w:val="uk-UA"/>
              </w:rPr>
              <w:t>Методи визначення собівартості і  формули собівартості</w:t>
            </w:r>
          </w:p>
        </w:tc>
        <w:tc>
          <w:tcPr>
            <w:tcW w:w="7052" w:type="dxa"/>
          </w:tcPr>
          <w:p w:rsidR="00A779AB" w:rsidRPr="000C25C9" w:rsidRDefault="00A779AB" w:rsidP="000C25C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Методи визначення оцінки собівартості запасів:</w:t>
            </w:r>
          </w:p>
          <w:p w:rsidR="00A779AB" w:rsidRPr="000C25C9" w:rsidRDefault="00A779AB" w:rsidP="000C25C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метод стандартних витрат;</w:t>
            </w:r>
          </w:p>
          <w:p w:rsidR="00A779AB" w:rsidRPr="000C25C9" w:rsidRDefault="00A779AB" w:rsidP="000C25C9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метод роздрібних цін.</w:t>
            </w:r>
          </w:p>
          <w:p w:rsidR="00A779AB" w:rsidRPr="000C25C9" w:rsidRDefault="00A779AB" w:rsidP="000C25C9">
            <w:p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Формули собівартості:</w:t>
            </w:r>
          </w:p>
          <w:p w:rsidR="00A779AB" w:rsidRPr="000C25C9" w:rsidRDefault="00A779AB" w:rsidP="000C25C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конкретна ідентифікація індивідуальної собівартості запасів;</w:t>
            </w:r>
          </w:p>
          <w:p w:rsidR="00A779AB" w:rsidRPr="000C25C9" w:rsidRDefault="00A779AB" w:rsidP="000C25C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формула «перше надходження – перший видаток» (ФІФО);</w:t>
            </w:r>
          </w:p>
          <w:p w:rsidR="00A779AB" w:rsidRPr="000C25C9" w:rsidRDefault="00A779AB" w:rsidP="000C25C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17" w:hanging="284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середньозважена собівартість.</w:t>
            </w:r>
          </w:p>
          <w:p w:rsidR="00A779AB" w:rsidRPr="000C25C9" w:rsidRDefault="00A779AB" w:rsidP="000C25C9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      Суб’єктові господарювання слід застосовувати одну і ту саму формулу собівартості для всіх запасів суб’єкта господарювання однакового характеру та використання.</w:t>
            </w:r>
          </w:p>
          <w:p w:rsidR="00A779AB" w:rsidRPr="000C25C9" w:rsidRDefault="00A779AB" w:rsidP="000C25C9">
            <w:pPr>
              <w:spacing w:after="0" w:line="240" w:lineRule="auto"/>
              <w:ind w:left="33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 xml:space="preserve">      Для запасів різного характеру або використання можуть бути виправданими різні формули собівартості.</w:t>
            </w:r>
          </w:p>
        </w:tc>
      </w:tr>
      <w:tr w:rsidR="00A779AB" w:rsidRPr="000C25C9" w:rsidTr="000C25C9">
        <w:tc>
          <w:tcPr>
            <w:tcW w:w="2694" w:type="dxa"/>
          </w:tcPr>
          <w:p w:rsidR="00A779AB" w:rsidRPr="000C25C9" w:rsidRDefault="00A779AB" w:rsidP="000C25C9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i/>
                <w:color w:val="000000"/>
                <w:sz w:val="26"/>
                <w:szCs w:val="26"/>
                <w:lang w:val="uk-UA"/>
              </w:rPr>
              <w:t>Списання (реалізація), часткове списання запасів</w:t>
            </w:r>
          </w:p>
        </w:tc>
        <w:tc>
          <w:tcPr>
            <w:tcW w:w="7052" w:type="dxa"/>
          </w:tcPr>
          <w:p w:rsidR="00A779AB" w:rsidRPr="000C25C9" w:rsidRDefault="00A779AB" w:rsidP="000C25C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Після реалізації запасів їхня балансова вартість визнається в тому ж періоді, в якому визнається відповідних дохід.</w:t>
            </w:r>
          </w:p>
          <w:p w:rsidR="00A779AB" w:rsidRPr="000C25C9" w:rsidRDefault="00A779AB" w:rsidP="000C25C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Під час часткового списання запасів*, їхня чиста вартість реалізації та всі втрати запасів, визнаються витратами періоду, в якому і відбувається часткове списання або збиток.</w:t>
            </w:r>
          </w:p>
          <w:p w:rsidR="00A779AB" w:rsidRPr="000C25C9" w:rsidRDefault="00A779AB" w:rsidP="000C25C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Сторнування часткового списання запасів, яке виникає через збільшення чистої вартості реалізації визнається зменшенням суми запасів, визнаної як витрати в тому періоді, в якому відбулось це сторнування.</w:t>
            </w:r>
          </w:p>
          <w:p w:rsidR="00A779AB" w:rsidRPr="000C25C9" w:rsidRDefault="00A779AB" w:rsidP="000C25C9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</w:pPr>
            <w:r w:rsidRPr="000C25C9">
              <w:rPr>
                <w:rFonts w:ascii="Times New Roman" w:hAnsi="Times New Roman"/>
                <w:color w:val="000000"/>
                <w:sz w:val="26"/>
                <w:szCs w:val="26"/>
                <w:lang w:val="uk-UA"/>
              </w:rPr>
              <w:t>*</w:t>
            </w:r>
            <w:r w:rsidRPr="000C25C9">
              <w:rPr>
                <w:rFonts w:ascii="Times New Roman" w:hAnsi="Times New Roman"/>
                <w:i/>
                <w:color w:val="000000"/>
                <w:sz w:val="26"/>
                <w:szCs w:val="26"/>
                <w:lang w:val="uk-UA"/>
              </w:rPr>
              <w:t>Примітка: Під «частковим списанням» розуміється уцінка запасів до чистої вартості реалізації.</w:t>
            </w:r>
          </w:p>
        </w:tc>
      </w:tr>
    </w:tbl>
    <w:p w:rsidR="00A779AB" w:rsidRPr="00F31A68" w:rsidRDefault="00A779AB" w:rsidP="00F31A68">
      <w:pPr>
        <w:spacing w:after="120" w:line="36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  <w:lang w:val="uk-UA"/>
        </w:rPr>
      </w:pPr>
      <w:r w:rsidRPr="002232FB">
        <w:rPr>
          <w:rFonts w:ascii="Times New Roman" w:hAnsi="Times New Roman"/>
          <w:color w:val="000000"/>
          <w:sz w:val="26"/>
          <w:szCs w:val="26"/>
          <w:lang w:val="uk-UA"/>
        </w:rPr>
        <w:t>Джерело: сформовано на основі [</w:t>
      </w:r>
      <w:fldSimple w:instr=" REF _Ref185792372 \r \h  \* MERGEFORMAT ">
        <w:r w:rsidRPr="002232FB">
          <w:rPr>
            <w:rFonts w:ascii="Times New Roman" w:hAnsi="Times New Roman"/>
            <w:color w:val="000000"/>
            <w:sz w:val="26"/>
            <w:szCs w:val="26"/>
            <w:lang w:val="uk-UA"/>
          </w:rPr>
          <w:t>1</w:t>
        </w:r>
      </w:fldSimple>
      <w:r w:rsidRPr="002232FB">
        <w:rPr>
          <w:rFonts w:ascii="Times New Roman" w:hAnsi="Times New Roman"/>
          <w:color w:val="000000"/>
          <w:sz w:val="26"/>
          <w:szCs w:val="26"/>
          <w:lang w:val="uk-UA"/>
        </w:rPr>
        <w:t>]</w:t>
      </w:r>
    </w:p>
    <w:p w:rsidR="00A779AB" w:rsidRPr="002232FB" w:rsidRDefault="00A779AB" w:rsidP="00054479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 xml:space="preserve">В порівнянні з Національним положенням (стандартом) бухгалтерського обліку 9 «Запаси» (далі - НП(С)БО) </w:t>
      </w:r>
      <w:r w:rsidRPr="002232FB">
        <w:rPr>
          <w:rFonts w:ascii="Times New Roman" w:hAnsi="Times New Roman"/>
          <w:i/>
          <w:color w:val="000000"/>
          <w:sz w:val="28"/>
          <w:szCs w:val="28"/>
          <w:lang w:val="uk-UA"/>
        </w:rPr>
        <w:t>у  МСФЗ 2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A779AB" w:rsidRPr="002232FB" w:rsidRDefault="00A779AB" w:rsidP="00FF385E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передбачено більш узагальнену класифікацію запасів підприємства, в якій не виділяються в окремі групи малоцінні та швидкозношувальні предмети та поточні біологічні активи, якщо вони оцінюються за правилами, визначеними в національному стандарті щодо запасів;</w:t>
      </w:r>
    </w:p>
    <w:p w:rsidR="00A779AB" w:rsidRPr="002232FB" w:rsidRDefault="00A779AB" w:rsidP="00FF385E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замість поняття «первісної вартості» запасів  використовується поняття «витрати на придбання запасів», перелік яких також не такий деталізований у порівнянні з національною практикою. Натомість, у стандарті наводиться перелік витрат на переробку запасів, які за національною практикою регулюються нормами НП(С)БО 16 «Витрати»;</w:t>
      </w:r>
    </w:p>
    <w:p w:rsidR="00A779AB" w:rsidRPr="002232FB" w:rsidRDefault="00A779AB" w:rsidP="00FF385E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не використовується поняття «транспортно-заготівельні витрати» у складі витрат на придбання запасів, не наведено методи їх обліку та формула для розподілу (при використанні «непрямого методу») наприкінці звітного періоду. Склад таких витрат обмежується витратами «</w:t>
      </w:r>
      <w:r w:rsidRPr="002232FB">
        <w:rPr>
          <w:rFonts w:ascii="Times New Roman" w:hAnsi="Times New Roman"/>
          <w:color w:val="000000"/>
          <w:sz w:val="28"/>
          <w:szCs w:val="28"/>
        </w:rPr>
        <w:t>на транспортування, навантаження і розвантаження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» запасів на відміну від більш деталізованого їх переліку за національним стандартом;</w:t>
      </w:r>
    </w:p>
    <w:p w:rsidR="00A779AB" w:rsidRPr="002232FB" w:rsidRDefault="00A779AB" w:rsidP="00FF385E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наведені положення щодо особливостей визначення собівартості запасів у виконавця послуг;</w:t>
      </w:r>
    </w:p>
    <w:p w:rsidR="00A779AB" w:rsidRPr="002232FB" w:rsidRDefault="00A779AB" w:rsidP="00FF385E">
      <w:pPr>
        <w:pStyle w:val="ListParagraph"/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більш деталізовані положення щодо визначення чистої вартості реалізації запасів, періодичності проведення нової оцінки чистої вартості реалізації кожного звітного періоду. Відновлення чистої вартості реалізації запасів  за наявності чітких свідчень ії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 xml:space="preserve">збільшення внаслідок зміни економічних обставин передбачає сторнування суми часткового списання. Цей підхід відрізняється від національного, який передбачає віднесення суми </w:t>
      </w:r>
      <w:r w:rsidRPr="002232F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збільшення чистої вартості реалізації, </w:t>
      </w:r>
      <w:r w:rsidRPr="002232FB">
        <w:rPr>
          <w:rFonts w:ascii="Times New Roman" w:hAnsi="Times New Roman"/>
          <w:color w:val="000000"/>
          <w:sz w:val="28"/>
          <w:szCs w:val="28"/>
          <w:lang w:val="uk-UA" w:eastAsia="ru-RU"/>
        </w:rPr>
        <w:t>звичайно ж в межах величини попереднього ії зменшення (уцінки запасів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 xml:space="preserve">), </w:t>
      </w:r>
      <w:r w:rsidRPr="002232FB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до іншого операційного доходу із збільшенням вартості цих запасів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. Крім того, у примітках до фінансової звітності поруч з іншою інформацією про запаси, яка є аналогічною, як за національним так і міжнародним стандартом, наводиться інформація про обставини або події, що спричинили сторнування часткового списання запасів.</w:t>
      </w:r>
    </w:p>
    <w:p w:rsidR="00A779AB" w:rsidRDefault="00A779AB" w:rsidP="00F54E4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Загалом порівняльний аналіз НП(С)БО 9 «Запаси» та МСБО 2 «Запаси» свідчить про те, національні вимоги щодо питань оцінки собівартості запасів більш деталізовані; ідентичними в стандартах є підходи до оцінки запасів при їх вибутті та на дату фінансової звітності тощо.</w:t>
      </w:r>
    </w:p>
    <w:p w:rsidR="00A779AB" w:rsidRPr="00F54E4C" w:rsidRDefault="00A779AB" w:rsidP="00F54E4C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F54E4C">
        <w:rPr>
          <w:rFonts w:ascii="Times New Roman" w:hAnsi="Times New Roman"/>
          <w:color w:val="000000"/>
          <w:sz w:val="28"/>
          <w:szCs w:val="28"/>
          <w:lang w:val="uk-UA"/>
        </w:rPr>
        <w:t xml:space="preserve">Облікова політика підприємства як внутрішній регламент, який відображає специфіку способів ведення та формування фінансової звітності за МСФЗ, знаходить відображення у розпорядчому документі – наказі чи положенні про облікову політику. Щодо запасів підприємства у наказі потребують висвітлення основні положення, які узагальнюють конкретні вимоги МСФЗ (без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повного </w:t>
      </w:r>
      <w:r w:rsidRPr="00F54E4C">
        <w:rPr>
          <w:rFonts w:ascii="Times New Roman" w:hAnsi="Times New Roman"/>
          <w:color w:val="000000"/>
          <w:sz w:val="28"/>
          <w:szCs w:val="28"/>
          <w:lang w:val="uk-UA"/>
        </w:rPr>
        <w:t xml:space="preserve">дубляжу </w:t>
      </w:r>
      <w:r w:rsidRPr="00F54E4C">
        <w:rPr>
          <w:rFonts w:ascii="Times New Roman" w:hAnsi="Times New Roman"/>
          <w:sz w:val="28"/>
          <w:szCs w:val="28"/>
          <w:lang w:val="uk-UA"/>
        </w:rPr>
        <w:t>одноваріантних та імперативних норм)</w:t>
      </w:r>
      <w:r w:rsidRPr="00F54E4C">
        <w:rPr>
          <w:rFonts w:ascii="Times New Roman" w:hAnsi="Times New Roman"/>
          <w:color w:val="000000"/>
          <w:sz w:val="28"/>
          <w:szCs w:val="28"/>
          <w:lang w:val="uk-UA"/>
        </w:rPr>
        <w:t>, а у разі їх відсутності, визначаються на основі власного професійного судження, зокрема:</w:t>
      </w:r>
    </w:p>
    <w:p w:rsidR="00A779AB" w:rsidRPr="00442FE5" w:rsidRDefault="00A779AB" w:rsidP="009A7DEE">
      <w:pPr>
        <w:pStyle w:val="ListParagraph"/>
        <w:numPr>
          <w:ilvl w:val="0"/>
          <w:numId w:val="9"/>
        </w:numPr>
        <w:spacing w:after="120"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визначення </w:t>
      </w:r>
      <w:r w:rsidRPr="00442FE5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диниці аналітичного</w:t>
      </w:r>
      <w:r w:rsidRPr="00442FE5">
        <w:rPr>
          <w:rFonts w:ascii="Times New Roman" w:hAnsi="Times New Roman"/>
          <w:color w:val="000000"/>
          <w:sz w:val="28"/>
          <w:szCs w:val="28"/>
          <w:lang w:val="uk-UA"/>
        </w:rPr>
        <w:t xml:space="preserve"> обліку запасів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779AB" w:rsidRPr="00442FE5" w:rsidRDefault="00A779AB" w:rsidP="009A7DEE">
      <w:pPr>
        <w:pStyle w:val="ListParagraph"/>
        <w:numPr>
          <w:ilvl w:val="0"/>
          <w:numId w:val="9"/>
        </w:numPr>
        <w:spacing w:after="120"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42FE5">
        <w:rPr>
          <w:rFonts w:ascii="Times New Roman" w:hAnsi="Times New Roman"/>
          <w:color w:val="000000"/>
          <w:sz w:val="28"/>
          <w:szCs w:val="28"/>
          <w:lang w:val="uk-UA"/>
        </w:rPr>
        <w:t>оцінка запасів в обліку та фінансовій звітності;</w:t>
      </w:r>
    </w:p>
    <w:p w:rsidR="00A779AB" w:rsidRDefault="00A779AB" w:rsidP="00442FE5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442FE5">
        <w:rPr>
          <w:rFonts w:ascii="Times New Roman" w:hAnsi="Times New Roman"/>
          <w:color w:val="000000"/>
          <w:sz w:val="28"/>
          <w:szCs w:val="28"/>
          <w:lang w:val="uk-UA"/>
        </w:rPr>
        <w:t xml:space="preserve">склад собівартості запасів;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порядок</w:t>
      </w:r>
      <w:r w:rsidRPr="00442FE5">
        <w:rPr>
          <w:rFonts w:ascii="Times New Roman" w:hAnsi="Times New Roman"/>
          <w:color w:val="000000"/>
          <w:sz w:val="28"/>
          <w:szCs w:val="28"/>
          <w:lang w:val="uk-UA"/>
        </w:rPr>
        <w:t xml:space="preserve"> обліку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та розподілу</w:t>
      </w:r>
      <w:r w:rsidRPr="00442FE5">
        <w:rPr>
          <w:rFonts w:ascii="Times New Roman" w:hAnsi="Times New Roman"/>
          <w:color w:val="000000"/>
          <w:sz w:val="28"/>
          <w:szCs w:val="28"/>
          <w:lang w:val="uk-UA"/>
        </w:rPr>
        <w:t xml:space="preserve"> транспортно-заготівельних витрат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, ведення окремого субрахунку обліку транспортно-заготівельних витрат</w:t>
      </w:r>
      <w:r w:rsidRPr="00442FE5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779AB" w:rsidRPr="0073520D" w:rsidRDefault="00A779AB" w:rsidP="00442FE5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обрані методи оцінки запасів при їх вибутті (реалізації, списанні); при обранні середньозваженого методу - </w:t>
      </w:r>
      <w:r w:rsidRPr="0073520D">
        <w:rPr>
          <w:rFonts w:ascii="Times New Roman" w:hAnsi="Times New Roman"/>
          <w:sz w:val="28"/>
          <w:szCs w:val="28"/>
          <w:lang w:val="uk-UA"/>
        </w:rPr>
        <w:t>періодичність визначення середньозваженої собівартості одиниці запасів</w:t>
      </w:r>
      <w:r w:rsidRPr="0073520D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779AB" w:rsidRPr="00654A7C" w:rsidRDefault="00A779AB" w:rsidP="003E7B02">
      <w:pPr>
        <w:pStyle w:val="ListParagraph"/>
        <w:numPr>
          <w:ilvl w:val="0"/>
          <w:numId w:val="9"/>
        </w:numPr>
        <w:spacing w:after="120" w:line="36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3520D">
        <w:rPr>
          <w:rFonts w:ascii="Times New Roman" w:hAnsi="Times New Roman"/>
          <w:color w:val="000000"/>
          <w:sz w:val="28"/>
          <w:szCs w:val="28"/>
          <w:lang w:val="uk-UA"/>
        </w:rPr>
        <w:t>процедура часткового списання запасів (знецінення запасів), яка передбачає: або (на вимогу МСБО 2) визнання знецінення запасів у складі витрат у тому періоді, коли таке знецінення відбулося або створення резерву під знецінення «проблемних» запасів з використанням в робочому плану рахунків окремого контрактивного</w:t>
      </w:r>
      <w:r w:rsidRPr="00442FE5">
        <w:rPr>
          <w:rFonts w:ascii="Times New Roman" w:hAnsi="Times New Roman"/>
          <w:color w:val="000000"/>
          <w:sz w:val="28"/>
          <w:szCs w:val="28"/>
          <w:lang w:val="uk-UA"/>
        </w:rPr>
        <w:t xml:space="preserve"> субрахунку в складі відповідних запасів.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Необхідно</w:t>
      </w:r>
      <w:r w:rsidRPr="00442FE5">
        <w:rPr>
          <w:rFonts w:ascii="Times New Roman" w:hAnsi="Times New Roman"/>
          <w:color w:val="000000"/>
          <w:sz w:val="28"/>
          <w:szCs w:val="28"/>
          <w:lang w:val="uk-UA"/>
        </w:rPr>
        <w:t xml:space="preserve"> зазначити, що створення резерву на знецінення запасів дозволено за МСФЗ</w:t>
      </w:r>
      <w:r w:rsidRPr="00654A7C">
        <w:rPr>
          <w:rFonts w:ascii="Times New Roman" w:hAnsi="Times New Roman"/>
          <w:color w:val="000000"/>
          <w:sz w:val="28"/>
          <w:szCs w:val="28"/>
          <w:lang w:val="uk-UA"/>
        </w:rPr>
        <w:t>, хоча сама процедура в стандартах не визначена. Цей варіант обліку є доцільним, так як при створенні резерву під знецінення запасів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54A7C">
        <w:rPr>
          <w:rFonts w:ascii="Times New Roman" w:hAnsi="Times New Roman"/>
          <w:color w:val="000000"/>
          <w:sz w:val="28"/>
          <w:szCs w:val="28"/>
          <w:lang w:val="uk-UA"/>
        </w:rPr>
        <w:t>у фінансовій звітності не завищується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654A7C">
        <w:rPr>
          <w:rFonts w:ascii="Times New Roman" w:hAnsi="Times New Roman"/>
          <w:color w:val="000000"/>
          <w:sz w:val="28"/>
          <w:szCs w:val="28"/>
          <w:lang w:val="uk-UA"/>
        </w:rPr>
        <w:t>їхня вартість, що забезпечує достовірне подання відповідної інформації;</w:t>
      </w:r>
    </w:p>
    <w:p w:rsidR="00A779AB" w:rsidRPr="00654A7C" w:rsidRDefault="00A779AB" w:rsidP="0070373B">
      <w:pPr>
        <w:pStyle w:val="ListParagraph"/>
        <w:numPr>
          <w:ilvl w:val="0"/>
          <w:numId w:val="9"/>
        </w:numPr>
        <w:spacing w:after="120" w:line="360" w:lineRule="auto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654A7C">
        <w:rPr>
          <w:rFonts w:ascii="Times New Roman" w:hAnsi="Times New Roman"/>
          <w:color w:val="000000"/>
          <w:sz w:val="28"/>
          <w:szCs w:val="28"/>
          <w:lang w:val="uk-UA"/>
        </w:rPr>
        <w:t>причини списання запасів до чистої вартості реалізації;</w:t>
      </w:r>
    </w:p>
    <w:p w:rsidR="00A779AB" w:rsidRPr="00654A7C" w:rsidRDefault="00A779AB" w:rsidP="00654A7C">
      <w:pPr>
        <w:pStyle w:val="ListParagraph"/>
        <w:numPr>
          <w:ilvl w:val="0"/>
          <w:numId w:val="9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</w:t>
      </w:r>
      <w:r w:rsidRPr="00654A7C">
        <w:rPr>
          <w:rFonts w:ascii="Times New Roman" w:hAnsi="Times New Roman"/>
          <w:sz w:val="28"/>
          <w:szCs w:val="28"/>
          <w:lang w:val="uk-UA"/>
        </w:rPr>
        <w:t xml:space="preserve">ількісні критерії та якісні ознаки суттєвості інформації </w:t>
      </w:r>
      <w:r w:rsidRPr="00654A7C">
        <w:rPr>
          <w:rFonts w:ascii="Times New Roman" w:hAnsi="Times New Roman"/>
          <w:color w:val="000000"/>
          <w:sz w:val="28"/>
          <w:szCs w:val="28"/>
          <w:lang w:val="uk-UA"/>
        </w:rPr>
        <w:t>про активи (в т.ч. і запаси).</w:t>
      </w:r>
    </w:p>
    <w:p w:rsidR="00A779AB" w:rsidRPr="002232FB" w:rsidRDefault="00A779AB" w:rsidP="00BA3697">
      <w:pPr>
        <w:spacing w:after="120" w:line="360" w:lineRule="auto"/>
        <w:ind w:firstLine="709"/>
        <w:jc w:val="both"/>
        <w:rPr>
          <w:rFonts w:ascii="Times New Roman" w:hAnsi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Отже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формування положень облікової політики підприємства щодо запасів відповідно до прямих вимог  МСФЗ, а у разі їх відсутності – на основі професійного судження, забезпечить подання  достовірної інформації про запаси у фінансовій звітності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A779AB" w:rsidRPr="007D69CF" w:rsidRDefault="00A779AB" w:rsidP="007D69CF">
      <w:pPr>
        <w:spacing w:after="120" w:line="360" w:lineRule="auto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7D69CF">
        <w:rPr>
          <w:rFonts w:ascii="Times New Roman" w:hAnsi="Times New Roman"/>
          <w:b/>
          <w:color w:val="000000"/>
          <w:sz w:val="28"/>
          <w:szCs w:val="28"/>
          <w:lang w:val="uk-UA"/>
        </w:rPr>
        <w:t>Список використаних джерел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:</w:t>
      </w:r>
    </w:p>
    <w:p w:rsidR="00A779AB" w:rsidRPr="002232FB" w:rsidRDefault="00A779AB" w:rsidP="00054479">
      <w:pPr>
        <w:pStyle w:val="ListParagraph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bookmarkStart w:id="0" w:name="_Ref185792372"/>
      <w:r w:rsidRPr="002232FB">
        <w:rPr>
          <w:rFonts w:ascii="Times New Roman" w:hAnsi="Times New Roman"/>
          <w:color w:val="000000"/>
          <w:sz w:val="28"/>
          <w:szCs w:val="28"/>
          <w:lang w:val="en-US"/>
        </w:rPr>
        <w:t>International Accounting Standard 2 «Inventories». URL:</w:t>
      </w:r>
      <w:hyperlink r:id="rId5" w:history="1"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https://www.ifrs.org/issued-standards/list-of-standards/</w:t>
        </w:r>
      </w:hyperlink>
      <w:bookmarkEnd w:id="0"/>
    </w:p>
    <w:p w:rsidR="00A779AB" w:rsidRPr="002232FB" w:rsidRDefault="00A779AB" w:rsidP="00054479">
      <w:pPr>
        <w:pStyle w:val="ListParagraph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en-US"/>
        </w:rPr>
      </w:pPr>
      <w:bookmarkStart w:id="1" w:name="_Ref185792354"/>
      <w:r w:rsidRPr="002232FB">
        <w:rPr>
          <w:rFonts w:ascii="Times New Roman" w:hAnsi="Times New Roman"/>
          <w:color w:val="000000"/>
          <w:sz w:val="28"/>
          <w:szCs w:val="28"/>
          <w:lang w:val="en-US"/>
        </w:rPr>
        <w:t>International accounting standard 8 «Accounting Policies, Changes in Accounting Estimates and Errors». URL:</w:t>
      </w:r>
      <w:hyperlink r:id="rId6" w:history="1"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en-US"/>
          </w:rPr>
          <w:t>https://www.ifrs.org/issued-standards/list-of-standards/</w:t>
        </w:r>
      </w:hyperlink>
      <w:bookmarkEnd w:id="1"/>
    </w:p>
    <w:p w:rsidR="00A779AB" w:rsidRPr="002232FB" w:rsidRDefault="00A779AB" w:rsidP="00054479">
      <w:pPr>
        <w:pStyle w:val="ListParagraph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bookmarkStart w:id="2" w:name="_Ref185792394"/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 xml:space="preserve">Національне положення (стандарт) бухгалтерського обліку 9 «Запаси»: наказ Міністерства фінансів України від 20.10.1999 № 246. </w:t>
      </w:r>
      <w:r w:rsidRPr="002232FB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hyperlink r:id="rId7" w:anchor="Text" w:history="1"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https://zakon.rada.gov.ua/laws/show/z0751-99#Text</w:t>
        </w:r>
      </w:hyperlink>
      <w:bookmarkEnd w:id="2"/>
    </w:p>
    <w:p w:rsidR="00A779AB" w:rsidRDefault="00A779AB" w:rsidP="00BC43DE">
      <w:pPr>
        <w:pStyle w:val="ListParagraph"/>
        <w:numPr>
          <w:ilvl w:val="0"/>
          <w:numId w:val="6"/>
        </w:numPr>
        <w:spacing w:after="120" w:line="360" w:lineRule="auto"/>
        <w:ind w:left="426" w:hanging="426"/>
        <w:jc w:val="both"/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</w:pPr>
      <w:bookmarkStart w:id="3" w:name="_Ref185792260"/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 xml:space="preserve">Про бухгалтерський облік та фінансову звітність в Україні: Закон України від 16.07.1999 № 996. </w:t>
      </w:r>
      <w:r w:rsidRPr="002232FB">
        <w:rPr>
          <w:rFonts w:ascii="Times New Roman" w:hAnsi="Times New Roman"/>
          <w:color w:val="000000"/>
          <w:sz w:val="28"/>
          <w:szCs w:val="28"/>
          <w:lang w:val="en-US"/>
        </w:rPr>
        <w:t>URL</w:t>
      </w:r>
      <w:r w:rsidRPr="002232FB">
        <w:rPr>
          <w:rFonts w:ascii="Times New Roman" w:hAnsi="Times New Roman"/>
          <w:color w:val="000000"/>
          <w:sz w:val="28"/>
          <w:szCs w:val="28"/>
          <w:lang w:val="uk-UA"/>
        </w:rPr>
        <w:t>:</w:t>
      </w:r>
      <w:hyperlink r:id="rId8" w:anchor="Text" w:history="1"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https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://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zakon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.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rada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.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gov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.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ua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/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laws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/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show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/996-14#</w:t>
        </w:r>
        <w:r w:rsidRPr="002232FB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</w:rPr>
          <w:t>Text</w:t>
        </w:r>
      </w:hyperlink>
      <w:bookmarkStart w:id="4" w:name="_Ref185792361"/>
      <w:bookmarkEnd w:id="3"/>
    </w:p>
    <w:p w:rsidR="00A779AB" w:rsidRPr="00BC43DE" w:rsidRDefault="00A779AB" w:rsidP="00BC43DE">
      <w:pPr>
        <w:pStyle w:val="ListParagraph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BC43DE">
        <w:rPr>
          <w:rFonts w:ascii="Times New Roman" w:hAnsi="Times New Roman"/>
          <w:color w:val="000000"/>
          <w:sz w:val="28"/>
          <w:szCs w:val="28"/>
          <w:lang w:val="uk-UA"/>
        </w:rPr>
        <w:t xml:space="preserve">Шевців Л. Ю., Мосолова Ю. О. Облікова політика в управлінні діяльністю підприємств за умов гармонізації обліку та звітності. </w:t>
      </w:r>
      <w:r w:rsidRPr="00BC43DE">
        <w:rPr>
          <w:rFonts w:ascii="Times New Roman" w:hAnsi="Times New Roman"/>
          <w:i/>
          <w:color w:val="000000"/>
          <w:sz w:val="28"/>
          <w:szCs w:val="28"/>
          <w:lang w:val="uk-UA"/>
        </w:rPr>
        <w:t>Бізнес Інформ.</w:t>
      </w:r>
      <w:r w:rsidRPr="00BC43DE">
        <w:rPr>
          <w:rFonts w:ascii="Times New Roman" w:hAnsi="Times New Roman"/>
          <w:color w:val="000000"/>
          <w:sz w:val="28"/>
          <w:szCs w:val="28"/>
          <w:lang w:val="uk-UA"/>
        </w:rPr>
        <w:t xml:space="preserve"> 2020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р</w:t>
      </w:r>
      <w:r w:rsidRPr="00BC43DE">
        <w:rPr>
          <w:rFonts w:ascii="Times New Roman" w:hAnsi="Times New Roman"/>
          <w:color w:val="000000"/>
          <w:sz w:val="28"/>
          <w:szCs w:val="28"/>
          <w:lang w:val="uk-UA"/>
        </w:rPr>
        <w:t xml:space="preserve">. № 3. С. 260-269. </w:t>
      </w:r>
      <w:bookmarkEnd w:id="4"/>
      <w:r w:rsidRPr="00BC43DE">
        <w:rPr>
          <w:rFonts w:ascii="Times New Roman" w:hAnsi="Times New Roman"/>
          <w:sz w:val="28"/>
          <w:szCs w:val="28"/>
        </w:rPr>
        <w:t>DOI:</w:t>
      </w:r>
      <w:r w:rsidRPr="00BC43DE">
        <w:rPr>
          <w:rFonts w:ascii="Times New Roman" w:hAnsi="Times New Roman"/>
          <w:sz w:val="28"/>
          <w:szCs w:val="28"/>
          <w:lang w:val="uk-UA"/>
        </w:rPr>
        <w:t xml:space="preserve"> 10.32983/2222-4459-2020-3-260-269</w:t>
      </w:r>
    </w:p>
    <w:p w:rsidR="00A779AB" w:rsidRPr="008F42CC" w:rsidRDefault="00A779AB" w:rsidP="00D617AF">
      <w:pPr>
        <w:pStyle w:val="ListParagraph"/>
        <w:numPr>
          <w:ilvl w:val="0"/>
          <w:numId w:val="6"/>
        </w:numPr>
        <w:spacing w:after="120" w:line="360" w:lineRule="auto"/>
        <w:ind w:left="426" w:hanging="426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D69CF">
        <w:rPr>
          <w:rFonts w:ascii="Times New Roman" w:hAnsi="Times New Roman"/>
          <w:iCs/>
          <w:sz w:val="28"/>
          <w:szCs w:val="28"/>
          <w:lang w:val="uk-UA"/>
        </w:rPr>
        <w:t>С. І. Дробязко.</w:t>
      </w:r>
      <w:r w:rsidRPr="00D617AF">
        <w:rPr>
          <w:rFonts w:ascii="Times New Roman" w:hAnsi="Times New Roman"/>
          <w:bCs/>
          <w:sz w:val="28"/>
          <w:szCs w:val="28"/>
          <w:lang w:val="uk-UA"/>
        </w:rPr>
        <w:t>М</w:t>
      </w:r>
      <w:r w:rsidRPr="007D69CF">
        <w:rPr>
          <w:rFonts w:ascii="Times New Roman" w:hAnsi="Times New Roman"/>
          <w:bCs/>
          <w:sz w:val="28"/>
          <w:szCs w:val="28"/>
          <w:lang w:val="uk-UA"/>
        </w:rPr>
        <w:t>етодичніаспектифінансовогооблікутоварнихзапасівпідприємства</w:t>
      </w:r>
      <w:r w:rsidRPr="00D617AF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Pr="007D69CF">
        <w:rPr>
          <w:rFonts w:ascii="Times New Roman" w:hAnsi="Times New Roman"/>
          <w:i/>
          <w:sz w:val="28"/>
          <w:szCs w:val="28"/>
          <w:lang w:val="uk-UA"/>
        </w:rPr>
        <w:t>Інвестиції: практика та досвід</w:t>
      </w:r>
      <w:r w:rsidRPr="00D617AF">
        <w:rPr>
          <w:rFonts w:ascii="Times New Roman" w:hAnsi="Times New Roman"/>
          <w:i/>
          <w:sz w:val="28"/>
          <w:szCs w:val="28"/>
          <w:lang w:val="uk-UA"/>
        </w:rPr>
        <w:t xml:space="preserve">. </w:t>
      </w:r>
      <w:r w:rsidRPr="00D617AF">
        <w:rPr>
          <w:rFonts w:ascii="Times New Roman" w:hAnsi="Times New Roman"/>
          <w:sz w:val="28"/>
          <w:szCs w:val="28"/>
          <w:lang w:val="uk-UA"/>
        </w:rPr>
        <w:t>2020 р.</w:t>
      </w:r>
      <w:r w:rsidRPr="00D617AF">
        <w:rPr>
          <w:rFonts w:ascii="Times New Roman" w:hAnsi="Times New Roman"/>
          <w:sz w:val="28"/>
          <w:szCs w:val="28"/>
        </w:rPr>
        <w:t xml:space="preserve"> № 1</w:t>
      </w:r>
      <w:r w:rsidRPr="00D617A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С. 5-10.</w:t>
      </w:r>
      <w:r w:rsidRPr="008F42CC">
        <w:rPr>
          <w:rFonts w:ascii="Times New Roman" w:hAnsi="Times New Roman"/>
          <w:sz w:val="28"/>
          <w:szCs w:val="28"/>
        </w:rPr>
        <w:t>DOI: 10.32702/2306_6814.2020.1.5</w:t>
      </w:r>
    </w:p>
    <w:sectPr w:rsidR="00A779AB" w:rsidRPr="008F42CC" w:rsidSect="0005447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2B77"/>
    <w:multiLevelType w:val="hybridMultilevel"/>
    <w:tmpl w:val="7A8A8A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C11AD7"/>
    <w:multiLevelType w:val="hybridMultilevel"/>
    <w:tmpl w:val="A9B8A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43406D"/>
    <w:multiLevelType w:val="hybridMultilevel"/>
    <w:tmpl w:val="00F4D8A4"/>
    <w:lvl w:ilvl="0" w:tplc="234C95D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52B27"/>
    <w:multiLevelType w:val="hybridMultilevel"/>
    <w:tmpl w:val="4D485A4E"/>
    <w:lvl w:ilvl="0" w:tplc="31E2F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E1B72"/>
    <w:multiLevelType w:val="hybridMultilevel"/>
    <w:tmpl w:val="301E3B34"/>
    <w:lvl w:ilvl="0" w:tplc="234C95D4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B34C31"/>
    <w:multiLevelType w:val="hybridMultilevel"/>
    <w:tmpl w:val="68C84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0451CC"/>
    <w:multiLevelType w:val="hybridMultilevel"/>
    <w:tmpl w:val="7A324E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089653E"/>
    <w:multiLevelType w:val="hybridMultilevel"/>
    <w:tmpl w:val="760C163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1AF6F49"/>
    <w:multiLevelType w:val="hybridMultilevel"/>
    <w:tmpl w:val="18D04A42"/>
    <w:lvl w:ilvl="0" w:tplc="E1FAC37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85E1B6A"/>
    <w:multiLevelType w:val="hybridMultilevel"/>
    <w:tmpl w:val="DB34F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4BB778F"/>
    <w:multiLevelType w:val="hybridMultilevel"/>
    <w:tmpl w:val="E5A801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10"/>
  </w:num>
  <w:num w:numId="6">
    <w:abstractNumId w:val="9"/>
  </w:num>
  <w:num w:numId="7">
    <w:abstractNumId w:val="4"/>
  </w:num>
  <w:num w:numId="8">
    <w:abstractNumId w:val="1"/>
  </w:num>
  <w:num w:numId="9">
    <w:abstractNumId w:val="3"/>
  </w:num>
  <w:num w:numId="10">
    <w:abstractNumId w:val="8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6176"/>
    <w:rsid w:val="00004FA8"/>
    <w:rsid w:val="00026364"/>
    <w:rsid w:val="00031C54"/>
    <w:rsid w:val="00054479"/>
    <w:rsid w:val="00061342"/>
    <w:rsid w:val="00076F90"/>
    <w:rsid w:val="000A626E"/>
    <w:rsid w:val="000C25C9"/>
    <w:rsid w:val="000C38EA"/>
    <w:rsid w:val="000E668C"/>
    <w:rsid w:val="00100D15"/>
    <w:rsid w:val="001144A9"/>
    <w:rsid w:val="0014311B"/>
    <w:rsid w:val="001761E7"/>
    <w:rsid w:val="001A5608"/>
    <w:rsid w:val="001B0075"/>
    <w:rsid w:val="001B318F"/>
    <w:rsid w:val="001C1220"/>
    <w:rsid w:val="001F0CD0"/>
    <w:rsid w:val="00212DB3"/>
    <w:rsid w:val="002232FB"/>
    <w:rsid w:val="0023433E"/>
    <w:rsid w:val="00246ABF"/>
    <w:rsid w:val="002616E8"/>
    <w:rsid w:val="00261B7B"/>
    <w:rsid w:val="00265099"/>
    <w:rsid w:val="002C250E"/>
    <w:rsid w:val="002C7895"/>
    <w:rsid w:val="002F391F"/>
    <w:rsid w:val="00314CF2"/>
    <w:rsid w:val="003226B8"/>
    <w:rsid w:val="00330FDB"/>
    <w:rsid w:val="00360252"/>
    <w:rsid w:val="003A76C2"/>
    <w:rsid w:val="003A7888"/>
    <w:rsid w:val="003D2748"/>
    <w:rsid w:val="003E7B02"/>
    <w:rsid w:val="00442FE5"/>
    <w:rsid w:val="00451919"/>
    <w:rsid w:val="004805BF"/>
    <w:rsid w:val="00481A53"/>
    <w:rsid w:val="00495EAE"/>
    <w:rsid w:val="004C5137"/>
    <w:rsid w:val="004D6269"/>
    <w:rsid w:val="005008B8"/>
    <w:rsid w:val="00513514"/>
    <w:rsid w:val="00513EC2"/>
    <w:rsid w:val="00515902"/>
    <w:rsid w:val="00540053"/>
    <w:rsid w:val="00577584"/>
    <w:rsid w:val="00581CB9"/>
    <w:rsid w:val="00584C19"/>
    <w:rsid w:val="0062673F"/>
    <w:rsid w:val="00646F67"/>
    <w:rsid w:val="00651DAE"/>
    <w:rsid w:val="00654A7C"/>
    <w:rsid w:val="00657D3A"/>
    <w:rsid w:val="00687894"/>
    <w:rsid w:val="006947B4"/>
    <w:rsid w:val="006C6C75"/>
    <w:rsid w:val="006D5C8A"/>
    <w:rsid w:val="006E214A"/>
    <w:rsid w:val="0070373B"/>
    <w:rsid w:val="00711428"/>
    <w:rsid w:val="00713592"/>
    <w:rsid w:val="0072033B"/>
    <w:rsid w:val="007255B0"/>
    <w:rsid w:val="0073291A"/>
    <w:rsid w:val="0073520D"/>
    <w:rsid w:val="00765C5B"/>
    <w:rsid w:val="00772325"/>
    <w:rsid w:val="007D45E0"/>
    <w:rsid w:val="007D69CF"/>
    <w:rsid w:val="007E78D3"/>
    <w:rsid w:val="007F2C27"/>
    <w:rsid w:val="00825C98"/>
    <w:rsid w:val="008B2DD8"/>
    <w:rsid w:val="008B4382"/>
    <w:rsid w:val="008D66E6"/>
    <w:rsid w:val="008F42CC"/>
    <w:rsid w:val="008F4C3A"/>
    <w:rsid w:val="00907164"/>
    <w:rsid w:val="00911730"/>
    <w:rsid w:val="009120A5"/>
    <w:rsid w:val="009219E6"/>
    <w:rsid w:val="00983DB9"/>
    <w:rsid w:val="009A7DEE"/>
    <w:rsid w:val="009F6823"/>
    <w:rsid w:val="00A254BE"/>
    <w:rsid w:val="00A37A4B"/>
    <w:rsid w:val="00A40F99"/>
    <w:rsid w:val="00A55DE2"/>
    <w:rsid w:val="00A779AB"/>
    <w:rsid w:val="00A846F4"/>
    <w:rsid w:val="00AA1C6C"/>
    <w:rsid w:val="00AB51E9"/>
    <w:rsid w:val="00AD5209"/>
    <w:rsid w:val="00AE107E"/>
    <w:rsid w:val="00AF2242"/>
    <w:rsid w:val="00B03F31"/>
    <w:rsid w:val="00B27990"/>
    <w:rsid w:val="00B43681"/>
    <w:rsid w:val="00B86176"/>
    <w:rsid w:val="00B935D9"/>
    <w:rsid w:val="00B95E4E"/>
    <w:rsid w:val="00BA3697"/>
    <w:rsid w:val="00BC43DE"/>
    <w:rsid w:val="00BC7D7E"/>
    <w:rsid w:val="00BF4805"/>
    <w:rsid w:val="00C0513F"/>
    <w:rsid w:val="00C121D7"/>
    <w:rsid w:val="00C1545E"/>
    <w:rsid w:val="00C602B3"/>
    <w:rsid w:val="00C65704"/>
    <w:rsid w:val="00C76121"/>
    <w:rsid w:val="00C7613C"/>
    <w:rsid w:val="00C91B13"/>
    <w:rsid w:val="00C9288D"/>
    <w:rsid w:val="00C966F6"/>
    <w:rsid w:val="00C97949"/>
    <w:rsid w:val="00CB0390"/>
    <w:rsid w:val="00CB7581"/>
    <w:rsid w:val="00CF31E1"/>
    <w:rsid w:val="00D01265"/>
    <w:rsid w:val="00D617AF"/>
    <w:rsid w:val="00D741C7"/>
    <w:rsid w:val="00D94252"/>
    <w:rsid w:val="00DD07E5"/>
    <w:rsid w:val="00DF0C72"/>
    <w:rsid w:val="00DF36C4"/>
    <w:rsid w:val="00E13F2F"/>
    <w:rsid w:val="00E1722F"/>
    <w:rsid w:val="00E446A3"/>
    <w:rsid w:val="00E461C3"/>
    <w:rsid w:val="00E53E02"/>
    <w:rsid w:val="00E55CB7"/>
    <w:rsid w:val="00E74471"/>
    <w:rsid w:val="00E74E0C"/>
    <w:rsid w:val="00E758CA"/>
    <w:rsid w:val="00E75EC7"/>
    <w:rsid w:val="00F045D7"/>
    <w:rsid w:val="00F04700"/>
    <w:rsid w:val="00F0530D"/>
    <w:rsid w:val="00F1612F"/>
    <w:rsid w:val="00F3078A"/>
    <w:rsid w:val="00F31A68"/>
    <w:rsid w:val="00F54E4C"/>
    <w:rsid w:val="00F64F35"/>
    <w:rsid w:val="00F66BFA"/>
    <w:rsid w:val="00F735E0"/>
    <w:rsid w:val="00F9545F"/>
    <w:rsid w:val="00FC0E82"/>
    <w:rsid w:val="00FC147E"/>
    <w:rsid w:val="00FD3461"/>
    <w:rsid w:val="00FE31B0"/>
    <w:rsid w:val="00FF385E"/>
    <w:rsid w:val="00FF7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5D7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F1612F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B03F3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9F68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rsid w:val="00F66BFA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rsid w:val="00654A7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415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5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5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51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51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51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518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415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996-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z0751-9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frs.org/issued-standards/list-of-standards/" TargetMode="External"/><Relationship Id="rId5" Type="http://schemas.openxmlformats.org/officeDocument/2006/relationships/hyperlink" Target="https://www.ifrs.org/issued-standards/list-of-standards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6</Pages>
  <Words>7204</Words>
  <Characters>4107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Admin</cp:lastModifiedBy>
  <cp:revision>3</cp:revision>
  <dcterms:created xsi:type="dcterms:W3CDTF">2024-12-27T21:22:00Z</dcterms:created>
  <dcterms:modified xsi:type="dcterms:W3CDTF">2024-12-30T12:40:00Z</dcterms:modified>
</cp:coreProperties>
</file>