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6E" w:rsidRPr="004B0458" w:rsidRDefault="0071516E" w:rsidP="004B0458">
      <w:pPr>
        <w:tabs>
          <w:tab w:val="left" w:pos="8280"/>
        </w:tabs>
        <w:spacing w:after="0" w:line="360" w:lineRule="auto"/>
        <w:ind w:left="1133" w:right="26"/>
        <w:jc w:val="right"/>
        <w:rPr>
          <w:rFonts w:ascii="Times New Roman" w:hAnsi="Times New Roman"/>
          <w:b/>
          <w:color w:val="000000"/>
          <w:sz w:val="28"/>
          <w:lang w:val="ru-RU"/>
        </w:rPr>
      </w:pPr>
      <w:r w:rsidRPr="004B0458">
        <w:rPr>
          <w:rFonts w:ascii="Times New Roman" w:hAnsi="Times New Roman"/>
          <w:b/>
          <w:color w:val="000000"/>
          <w:sz w:val="28"/>
          <w:lang w:val="ru-RU"/>
        </w:rPr>
        <w:t>Крикун Валентина</w:t>
      </w:r>
    </w:p>
    <w:p w:rsidR="0071516E" w:rsidRPr="004B0458" w:rsidRDefault="0071516E" w:rsidP="004B0458">
      <w:pPr>
        <w:tabs>
          <w:tab w:val="left" w:pos="8280"/>
          <w:tab w:val="left" w:pos="9050"/>
        </w:tabs>
        <w:spacing w:after="0" w:line="360" w:lineRule="auto"/>
        <w:ind w:left="1133" w:right="26"/>
        <w:jc w:val="right"/>
        <w:rPr>
          <w:rFonts w:ascii="Times New Roman" w:hAnsi="Times New Roman"/>
          <w:b/>
          <w:color w:val="000000"/>
          <w:sz w:val="28"/>
          <w:lang w:val="ru-RU"/>
        </w:rPr>
      </w:pPr>
      <w:r w:rsidRPr="004B0458">
        <w:rPr>
          <w:rFonts w:ascii="Times New Roman" w:hAnsi="Times New Roman"/>
          <w:b/>
          <w:color w:val="000000"/>
          <w:sz w:val="28"/>
          <w:lang w:val="ru-RU"/>
        </w:rPr>
        <w:t>(Біла Церква, Україна)</w:t>
      </w:r>
    </w:p>
    <w:p w:rsidR="0071516E" w:rsidRPr="004B0458" w:rsidRDefault="0071516E">
      <w:pPr>
        <w:tabs>
          <w:tab w:val="left" w:pos="7920"/>
        </w:tabs>
        <w:spacing w:after="0" w:line="360" w:lineRule="auto"/>
        <w:ind w:left="1133" w:right="1133"/>
        <w:jc w:val="both"/>
        <w:rPr>
          <w:rFonts w:ascii="Times New Roman" w:hAnsi="Times New Roman"/>
          <w:color w:val="000000"/>
          <w:sz w:val="28"/>
          <w:lang w:val="ru-RU"/>
        </w:rPr>
      </w:pPr>
    </w:p>
    <w:p w:rsidR="0071516E" w:rsidRPr="004B0458" w:rsidRDefault="0071516E">
      <w:pPr>
        <w:tabs>
          <w:tab w:val="left" w:pos="7920"/>
        </w:tabs>
        <w:spacing w:after="0" w:line="360" w:lineRule="auto"/>
        <w:ind w:left="1133" w:right="1133"/>
        <w:jc w:val="center"/>
        <w:rPr>
          <w:rFonts w:ascii="Times New Roman" w:hAnsi="Times New Roman"/>
          <w:b/>
          <w:color w:val="000000"/>
          <w:sz w:val="28"/>
          <w:lang w:val="ru-RU"/>
        </w:rPr>
      </w:pPr>
      <w:r w:rsidRPr="004B0458">
        <w:rPr>
          <w:rFonts w:ascii="Times New Roman" w:hAnsi="Times New Roman"/>
          <w:b/>
          <w:color w:val="000000"/>
          <w:sz w:val="28"/>
          <w:lang w:val="ru-RU"/>
        </w:rPr>
        <w:t>ДЕРЖАВНЕ РЕГУЛЮВАННЯ ЕКОНОМІКОЮ НА ПРИКЛАДІ ПДВ</w:t>
      </w:r>
    </w:p>
    <w:p w:rsidR="0071516E" w:rsidRPr="004B0458" w:rsidRDefault="0071516E">
      <w:pPr>
        <w:tabs>
          <w:tab w:val="left" w:pos="7920"/>
        </w:tabs>
        <w:spacing w:after="0" w:line="360" w:lineRule="auto"/>
        <w:ind w:left="1133" w:right="1133"/>
        <w:jc w:val="center"/>
        <w:rPr>
          <w:rFonts w:ascii="Times New Roman" w:hAnsi="Times New Roman"/>
          <w:color w:val="000000"/>
          <w:sz w:val="28"/>
          <w:lang w:val="ru-RU"/>
        </w:rPr>
      </w:pP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0"/>
          <w:sz w:val="28"/>
          <w:lang w:val="ru-RU"/>
        </w:rPr>
      </w:pPr>
      <w:r w:rsidRPr="004B0458">
        <w:rPr>
          <w:rFonts w:ascii="Times New Roman" w:hAnsi="Times New Roman"/>
          <w:color w:val="000000"/>
          <w:sz w:val="28"/>
          <w:lang w:val="ru-RU"/>
        </w:rPr>
        <w:t xml:space="preserve">  Державне регулювання економіки – діяльність держави з підтримання стабільності відтворення та забезпечення умов для розвитку економіки. </w:t>
      </w:r>
      <w:r>
        <w:rPr>
          <w:rFonts w:ascii="Times New Roman" w:hAnsi="Times New Roman"/>
          <w:color w:val="000000"/>
          <w:sz w:val="28"/>
        </w:rPr>
        <w:t xml:space="preserve">Є однією з основних форм участі держави в економіці, що полягає у її впливі на розподіл ресурсів і доходів, темпи економічного розвитку та рівень добробуту населення країни. На різних історичних етапах головними завданнями державного регулювання економіки були: подолання криз і боротьба з безробіттям, стимулювання економічного зростання, послаблення інфляції, зміцнення зовнішньоекономічних позицій, стабілізація платіжного балансу, стимулювання структурних зрушень в економіці. </w:t>
      </w:r>
      <w:r w:rsidRPr="004B0458">
        <w:rPr>
          <w:rFonts w:ascii="Times New Roman" w:hAnsi="Times New Roman"/>
          <w:color w:val="000000"/>
          <w:sz w:val="28"/>
          <w:lang w:val="ru-RU"/>
        </w:rPr>
        <w:t>Державне регулювання вироблення пропорцій певною мірою регламентує характер ринку, який є основою національної економіки. Державне регулювання може значною мірою потіснити ринок, а може й спиратися на нього, впливаючи на притаманні ринковому регулюванню стимули та орієнтири. Держава здатна заохочувати ринок, застосовуючи заходи з обмеження монополістичних тенденцій [1].</w:t>
      </w:r>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bookmarkStart w:id="0" w:name="_dx_frag_StartFragment"/>
      <w:bookmarkEnd w:id="0"/>
      <w:r w:rsidRPr="004B0458">
        <w:rPr>
          <w:rFonts w:ascii="Times New Roman" w:hAnsi="Times New Roman"/>
          <w:sz w:val="28"/>
          <w:lang w:val="ru-RU"/>
        </w:rPr>
        <w:t xml:space="preserve">    Виокремлюють такі вади держави у сфері вироблення рішень, пов’язаних із застосуванням політичних механізмів їхнього прийняття і реалізації: </w:t>
      </w:r>
      <w:r>
        <w:rPr>
          <w:rFonts w:ascii="Times New Roman" w:hAnsi="Times New Roman"/>
          <w:sz w:val="28"/>
        </w:rPr>
        <w:t></w:t>
      </w:r>
      <w:r w:rsidRPr="004B0458">
        <w:rPr>
          <w:rFonts w:ascii="Times New Roman" w:hAnsi="Times New Roman"/>
          <w:sz w:val="28"/>
          <w:lang w:val="ru-RU"/>
        </w:rPr>
        <w:t xml:space="preserve"> обмеженість, неповнота інформації (інформаційна асиметрія); недосконалість політичного процесу; </w:t>
      </w:r>
      <w:r>
        <w:rPr>
          <w:rFonts w:ascii="Times New Roman" w:hAnsi="Times New Roman"/>
          <w:sz w:val="28"/>
        </w:rPr>
        <w:t></w:t>
      </w:r>
      <w:r w:rsidRPr="004B0458">
        <w:rPr>
          <w:rFonts w:ascii="Times New Roman" w:hAnsi="Times New Roman"/>
          <w:sz w:val="28"/>
          <w:lang w:val="ru-RU"/>
        </w:rPr>
        <w:t>бюрократизація державного апарату; нездатність державних структур повністю передбачати наслідки прийнятих політичних рішень, передусім віддалених [2, с. 16-17].</w:t>
      </w:r>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sz w:val="28"/>
          <w:lang w:val="ru-RU"/>
        </w:rPr>
        <w:t xml:space="preserve">   Виділяють пряму і непряму форму державного регулювання економіки. Пряме регулювання - це вплив держави на економічні процеси за допомогою безпосереднього використання відповідних регуляторів, наприклад, бюджетне фінансування державою відповідних програм. Пряме регулювання змушує суб’єктів економіки приймати рішення на основі державних вказівок, а не самостійного вибору. В цьому разі використовуються такі інструменти: норми амортизації, державні інвестиції, централізовані ціни тощо. </w:t>
      </w:r>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sz w:val="28"/>
          <w:lang w:val="ru-RU"/>
        </w:rPr>
        <w:t xml:space="preserve">    За непрямого регулювання держава прямо не втручається в процес прийняття рішень суб’єктами економіки, а лише створює передумови для того, щоб при самостійному виборі суб’єкти надавали перевагу тим варіантам, які відповідають цілям економічної політики. Непряме регулювання економіки здійснюється через економічні інструменти, за допомогою яких створюються передумови для змін в умовах функціонування ринкового механізму[10, с. 11-12].</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0"/>
          <w:sz w:val="28"/>
          <w:lang w:val="ru-RU"/>
        </w:rPr>
      </w:pPr>
      <w:r w:rsidRPr="004B0458">
        <w:rPr>
          <w:rFonts w:ascii="Times New Roman" w:hAnsi="Times New Roman"/>
          <w:color w:val="000000"/>
          <w:sz w:val="28"/>
          <w:lang w:val="ru-RU"/>
        </w:rPr>
        <w:t xml:space="preserve"> Державне регулювання економіки є важливим для забезпечення стабільності та розвитку країни. Воно включає широкий спектр заходів, від фіскальної політики до регулювання окремих галузей. Одним із найважливіших аспектів державного регулювання є податкова політика, яка впливає на розподіл ресурсів і доходів. Податки є основним джерелом доходів державного бюджету і необхідні для фінансування суспільних потреб. Одним із таких є податок на додану вартість, який належить до непрямих податків та який оподатковує кінцеве споживання товарів і послуг. Його справляння суттєво впливає на вартість продукції та рівень споживання населення [9, с.64-69].</w:t>
      </w:r>
    </w:p>
    <w:p w:rsidR="0071516E" w:rsidRDefault="0071516E" w:rsidP="004B0458">
      <w:pPr>
        <w:tabs>
          <w:tab w:val="left" w:pos="8100"/>
        </w:tabs>
        <w:spacing w:after="0" w:line="360" w:lineRule="auto"/>
        <w:ind w:left="180" w:right="26" w:firstLine="540"/>
        <w:jc w:val="both"/>
        <w:rPr>
          <w:rFonts w:ascii="Times New Roman" w:hAnsi="Times New Roman"/>
          <w:color w:val="00000A"/>
          <w:sz w:val="28"/>
        </w:rPr>
      </w:pPr>
      <w:r w:rsidRPr="004B0458">
        <w:rPr>
          <w:rFonts w:ascii="Times New Roman" w:hAnsi="Times New Roman"/>
          <w:color w:val="00000A"/>
          <w:sz w:val="28"/>
          <w:lang w:val="ru-RU"/>
        </w:rPr>
        <w:t xml:space="preserve">Згідно з Податковим кодексом України, ПДВ належить до непрямих податків і стягується при продажу товарів, наданні послуг, а також при імпорті товарів на митну територію </w:t>
      </w:r>
      <w:r>
        <w:rPr>
          <w:rFonts w:ascii="Times New Roman" w:hAnsi="Times New Roman"/>
          <w:color w:val="00000A"/>
          <w:sz w:val="28"/>
        </w:rPr>
        <w:t>України. Основними передумовами виникнення ПДВ в Україні були:</w:t>
      </w:r>
    </w:p>
    <w:p w:rsidR="0071516E" w:rsidRPr="004B0458" w:rsidRDefault="0071516E" w:rsidP="004B0458">
      <w:pPr>
        <w:numPr>
          <w:ilvl w:val="0"/>
          <w:numId w:val="1"/>
        </w:num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необхідність забезпечення стабільних та передбачуваних податкових надходжень до бюджету;</w:t>
      </w:r>
    </w:p>
    <w:p w:rsidR="0071516E" w:rsidRPr="004B0458" w:rsidRDefault="0071516E" w:rsidP="004B0458">
      <w:pPr>
        <w:numPr>
          <w:ilvl w:val="0"/>
          <w:numId w:val="1"/>
        </w:num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сприяння розвитку ринкової економіки через застосування податку, що мінімізує спотворення цінових сигналів;</w:t>
      </w:r>
    </w:p>
    <w:p w:rsidR="0071516E" w:rsidRPr="004B0458" w:rsidRDefault="0071516E" w:rsidP="004B0458">
      <w:pPr>
        <w:numPr>
          <w:ilvl w:val="0"/>
          <w:numId w:val="1"/>
        </w:num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гармонізація податкової системи України з європейськими стандартами.</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ПДВ в Україні є податком, який нараховується на додану вартість,</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створену на кожному етапі виробництва або продажу товару чи послуги. </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0"/>
          <w:sz w:val="28"/>
          <w:lang w:val="ru-RU"/>
        </w:rPr>
      </w:pPr>
      <w:r w:rsidRPr="004B0458">
        <w:rPr>
          <w:rFonts w:ascii="Times New Roman" w:hAnsi="Times New Roman"/>
          <w:color w:val="00000A"/>
          <w:sz w:val="28"/>
          <w:lang w:val="ru-RU"/>
        </w:rPr>
        <w:t>Ключовим елементом механізму ПДВ є система заліку. Це означає, що підприємства нараховують ПДВ на вартість товарів або послуг, які вони продають, але мають право на залік ПДВ, сплаченого постачальникам за товари або послуги, які були використані в процесі виробництва або продажу [3].</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 Розглянемо основні недоліки справляння ПДВ на основі актуальних даних за 2022-2023 роки </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1. Тіньова економіка та обсяги недонадходжень до бюджету</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Через високий рівень тіньової економіки бюджет України щороку втрачає значну частину доходів від ПДВ. За оцінками Міністерства економіки, у 2022 році обсяг тіньової економіки зріс до 32% від ВВП, а у 2023 році ця цифра дещо зменшилася, але залишилася на рівні близько 30%. Це частково пояснюється війною та економічною кризою, які змушують бізнеси працювати у «сірій» зоні. За оцінками експертів, ці втрати для бюджету України у 2022-2023 роках становили від 150 до 200 мільярдів гривень на рік </w:t>
      </w:r>
      <w:r w:rsidRPr="004B0458">
        <w:rPr>
          <w:rFonts w:ascii="Times New Roman" w:hAnsi="Times New Roman"/>
          <w:sz w:val="28"/>
          <w:lang w:val="ru-RU"/>
        </w:rPr>
        <w:t>[4]</w:t>
      </w:r>
      <w:r w:rsidRPr="004B0458">
        <w:rPr>
          <w:rFonts w:ascii="Times New Roman" w:hAnsi="Times New Roman"/>
          <w:color w:val="00000A"/>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2. Затримки з відшкодуванням ПДВ експортерам.</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Військові дії, які тривають з лютого 2022 року, значно вплинули на економічну ситуацію в країні, зокрема на можливість вчасного відшкодування ПДВ. У 2022 році заборгованість держави перед експортерами за невідшкодований ПДВ склала понад 20 мільярдів гривень. У 2023 році уряд дещо покращив ситуацію завдяки залученню міжнародної допомоги та автоматизації процесів, однак, за оцінками аудиторських компаній, станом на середину 2023 року невідшкодована сума все ще становила близько 15 мільярдів гривень. Затримки з відшкодуванням ПДВ ускладнюють роботу експортерів, особливо у сфері агропромисловості, які критично залежать від обігових коштів для підтримки своїх виробничих процесів </w:t>
      </w:r>
      <w:r w:rsidRPr="004B0458">
        <w:rPr>
          <w:rFonts w:ascii="Times New Roman" w:hAnsi="Times New Roman"/>
          <w:sz w:val="28"/>
          <w:lang w:val="ru-RU"/>
        </w:rPr>
        <w:t>[5]</w:t>
      </w:r>
      <w:r w:rsidRPr="004B0458">
        <w:rPr>
          <w:rFonts w:ascii="Times New Roman" w:hAnsi="Times New Roman"/>
          <w:color w:val="00000A"/>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3. «Скрутки» та схеми ухилення від сплати ПДВ</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Схеми ухилення від сплати ПДВ через фіктивні операції, або «скрутки», залишаються однією з найпоширеніших проблем. За даними Державної податкової служби України, у 2022 році було виявлено та припинено схеми, які завдали збитків державі на понад 10 мільярдів гривень. У 2023 році завдяки впровадженню електронної системи моніторингу ризикових операцій (СМРПО) вдалося виявити нові схеми ухилення на суму приблизно 7 мільярдів гривень лише за перше півріччя</w:t>
      </w:r>
      <w:r w:rsidRPr="004B0458">
        <w:rPr>
          <w:rFonts w:ascii="Times New Roman" w:hAnsi="Times New Roman"/>
          <w:sz w:val="28"/>
          <w:lang w:val="ru-RU"/>
        </w:rPr>
        <w:t>[6]</w:t>
      </w:r>
      <w:r w:rsidRPr="004B0458">
        <w:rPr>
          <w:rFonts w:ascii="Times New Roman" w:hAnsi="Times New Roman"/>
          <w:color w:val="00000A"/>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4. Корупційні ризики в податкових органах</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Високий рівень корупції залишається однією з основних проблем адміністрування ПДВ в Україні. За індексом сприйняття корупції </w:t>
      </w:r>
      <w:r>
        <w:rPr>
          <w:rFonts w:ascii="Times New Roman" w:hAnsi="Times New Roman"/>
          <w:color w:val="00000A"/>
          <w:sz w:val="28"/>
        </w:rPr>
        <w:t>Transparency</w:t>
      </w:r>
      <w:r w:rsidRPr="004B0458">
        <w:rPr>
          <w:rFonts w:ascii="Times New Roman" w:hAnsi="Times New Roman"/>
          <w:color w:val="00000A"/>
          <w:sz w:val="28"/>
          <w:lang w:val="ru-RU"/>
        </w:rPr>
        <w:t xml:space="preserve"> </w:t>
      </w:r>
      <w:r>
        <w:rPr>
          <w:rFonts w:ascii="Times New Roman" w:hAnsi="Times New Roman"/>
          <w:color w:val="00000A"/>
          <w:sz w:val="28"/>
        </w:rPr>
        <w:t>International</w:t>
      </w:r>
      <w:r w:rsidRPr="004B0458">
        <w:rPr>
          <w:rFonts w:ascii="Times New Roman" w:hAnsi="Times New Roman"/>
          <w:color w:val="00000A"/>
          <w:sz w:val="28"/>
          <w:lang w:val="ru-RU"/>
        </w:rPr>
        <w:t xml:space="preserve">, Україна у 2022 році посіла 117 місце зі 180 країн, що демонструє певний прогрес порівняно з попередніми роками, але свідчить про наявність суттєвих корупційних ризиків. Незважаючи на запровадження антикорупційних реформ, деякі службовці податкової продовжують використовувати корупційні схеми для надання «податкових преференцій» або прискореного відшкодування ПДВ в обмін на хабарі. Це знижує ефективність системи збору ПДВ та призводить до втрати мільярдів гривень щороку </w:t>
      </w:r>
      <w:r w:rsidRPr="004B0458">
        <w:rPr>
          <w:rFonts w:ascii="Times New Roman" w:hAnsi="Times New Roman"/>
          <w:sz w:val="28"/>
          <w:lang w:val="ru-RU"/>
        </w:rPr>
        <w:t>[7]</w:t>
      </w:r>
      <w:r w:rsidRPr="004B0458">
        <w:rPr>
          <w:rFonts w:ascii="Times New Roman" w:hAnsi="Times New Roman"/>
          <w:color w:val="00000A"/>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5. Високі витрати на комплаєнс і складність адміністрування</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Через складну систему адміністрування ПДВ витрати на податковий комплаєнс для бізнесу залишаються високими. Згідно з рейтингом Світового банку </w:t>
      </w:r>
      <w:r>
        <w:rPr>
          <w:rFonts w:ascii="Times New Roman" w:hAnsi="Times New Roman"/>
          <w:color w:val="00000A"/>
          <w:sz w:val="28"/>
        </w:rPr>
        <w:t>Doing</w:t>
      </w:r>
      <w:r w:rsidRPr="004B0458">
        <w:rPr>
          <w:rFonts w:ascii="Times New Roman" w:hAnsi="Times New Roman"/>
          <w:color w:val="00000A"/>
          <w:sz w:val="28"/>
          <w:lang w:val="ru-RU"/>
        </w:rPr>
        <w:t xml:space="preserve"> </w:t>
      </w:r>
      <w:r>
        <w:rPr>
          <w:rFonts w:ascii="Times New Roman" w:hAnsi="Times New Roman"/>
          <w:color w:val="00000A"/>
          <w:sz w:val="28"/>
        </w:rPr>
        <w:t>Business</w:t>
      </w:r>
      <w:r w:rsidRPr="004B0458">
        <w:rPr>
          <w:rFonts w:ascii="Times New Roman" w:hAnsi="Times New Roman"/>
          <w:color w:val="00000A"/>
          <w:sz w:val="28"/>
          <w:lang w:val="ru-RU"/>
        </w:rPr>
        <w:t xml:space="preserve"> 2022, Україна покращила свою позицію у сфері сплати податків, але витрати часу на комплаєнс щодо ПДВ залишаються на рівні 300-320 годин на рік, що значно перевищує середній показник для країн ЄС (менше 200 годин на рік) </w:t>
      </w:r>
      <w:r w:rsidRPr="004B0458">
        <w:rPr>
          <w:rFonts w:ascii="Times New Roman" w:hAnsi="Times New Roman"/>
          <w:sz w:val="28"/>
          <w:lang w:val="ru-RU"/>
        </w:rPr>
        <w:t>[5]</w:t>
      </w:r>
      <w:r w:rsidRPr="004B0458">
        <w:rPr>
          <w:rFonts w:ascii="Times New Roman" w:hAnsi="Times New Roman"/>
          <w:color w:val="00000A"/>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6. Постійні зміни у законодавстві</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Війна спричинила необхідність швидких змін до податкового законодавства. У 2022-2023 роках уряд України ухвалив низку змін, спрямованих на спрощення адміністрування ПДВ, однак часті зміни також створюють додаткові труднощі для бізнесу. Зокрема, у 2022 році були запроваджені податкові пільги для бізнесів, які постраждали від військових дій, а у 2023 році ці зміни частково скасували або переглянули. Постійна непередбачуваність у податковій політиці, особливо у сфері ПДВ, знижує інвестиційну привабливість та ускладнює фінансове планування для бізнесу </w:t>
      </w:r>
      <w:r w:rsidRPr="004B0458">
        <w:rPr>
          <w:rFonts w:ascii="Times New Roman" w:hAnsi="Times New Roman"/>
          <w:sz w:val="28"/>
          <w:lang w:val="ru-RU"/>
        </w:rPr>
        <w:t>[8]</w:t>
      </w:r>
      <w:r w:rsidRPr="004B0458">
        <w:rPr>
          <w:rFonts w:ascii="Times New Roman" w:hAnsi="Times New Roman"/>
          <w:color w:val="00000A"/>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Справляння ПДВ в Україні стикається з низкою проблем, які потребують негайного вирішення. Для підвищення ефективності збору податку, зменшення втрат бюджету та покращення бізнес-клімату потрібні комплексні реформи </w:t>
      </w:r>
      <w:r w:rsidRPr="004B0458">
        <w:rPr>
          <w:rFonts w:ascii="Times New Roman" w:hAnsi="Times New Roman"/>
          <w:sz w:val="28"/>
          <w:lang w:val="ru-RU"/>
        </w:rPr>
        <w:t>[5]</w:t>
      </w:r>
      <w:r w:rsidRPr="004B0458">
        <w:rPr>
          <w:rFonts w:ascii="Times New Roman" w:hAnsi="Times New Roman"/>
          <w:color w:val="00000A"/>
          <w:sz w:val="28"/>
          <w:lang w:val="ru-RU"/>
        </w:rPr>
        <w:t>.</w:t>
      </w:r>
    </w:p>
    <w:p w:rsidR="0071516E" w:rsidRDefault="0071516E" w:rsidP="004B0458">
      <w:pPr>
        <w:tabs>
          <w:tab w:val="left" w:pos="8100"/>
        </w:tabs>
        <w:spacing w:after="0" w:line="360" w:lineRule="auto"/>
        <w:ind w:left="180" w:right="26" w:firstLine="540"/>
        <w:jc w:val="both"/>
        <w:rPr>
          <w:rFonts w:ascii="Times New Roman" w:hAnsi="Times New Roman"/>
          <w:color w:val="00000A"/>
          <w:sz w:val="28"/>
        </w:rPr>
      </w:pPr>
      <w:r w:rsidRPr="004B0458">
        <w:rPr>
          <w:rFonts w:ascii="Times New Roman" w:hAnsi="Times New Roman"/>
          <w:color w:val="00000A"/>
          <w:sz w:val="28"/>
          <w:lang w:val="ru-RU"/>
        </w:rPr>
        <w:t xml:space="preserve">Одним з ефективних заходів є подальша автоматизація всіх етапів адміністрування ПДВ. </w:t>
      </w:r>
      <w:r>
        <w:rPr>
          <w:rFonts w:ascii="Times New Roman" w:hAnsi="Times New Roman"/>
          <w:color w:val="00000A"/>
          <w:sz w:val="28"/>
        </w:rPr>
        <w:t>Автоматизація може включати:</w:t>
      </w:r>
    </w:p>
    <w:p w:rsidR="0071516E" w:rsidRDefault="0071516E" w:rsidP="004B0458">
      <w:pPr>
        <w:numPr>
          <w:ilvl w:val="0"/>
          <w:numId w:val="2"/>
        </w:numPr>
        <w:tabs>
          <w:tab w:val="left" w:pos="8100"/>
        </w:tabs>
        <w:spacing w:after="0" w:line="360" w:lineRule="auto"/>
        <w:ind w:left="180" w:right="26" w:firstLine="540"/>
        <w:jc w:val="both"/>
        <w:rPr>
          <w:rFonts w:ascii="Times New Roman" w:hAnsi="Times New Roman"/>
          <w:color w:val="00000A"/>
          <w:sz w:val="28"/>
        </w:rPr>
      </w:pPr>
      <w:r>
        <w:rPr>
          <w:rFonts w:ascii="Times New Roman" w:hAnsi="Times New Roman"/>
          <w:color w:val="00000A"/>
          <w:sz w:val="28"/>
        </w:rPr>
        <w:t>покращення системи електронного адміністрування ПДВ (СЕА ПДВ), яка дозволяє відстежувати операції з ПДВ та мінімізувати можливості для зловживань;</w:t>
      </w:r>
    </w:p>
    <w:p w:rsidR="0071516E" w:rsidRDefault="0071516E" w:rsidP="004B0458">
      <w:pPr>
        <w:numPr>
          <w:ilvl w:val="0"/>
          <w:numId w:val="2"/>
        </w:numPr>
        <w:tabs>
          <w:tab w:val="left" w:pos="8100"/>
        </w:tabs>
        <w:spacing w:after="0" w:line="360" w:lineRule="auto"/>
        <w:ind w:left="180" w:right="26" w:firstLine="540"/>
        <w:jc w:val="both"/>
        <w:rPr>
          <w:rFonts w:ascii="Times New Roman" w:hAnsi="Times New Roman"/>
          <w:color w:val="00000A"/>
          <w:sz w:val="28"/>
        </w:rPr>
      </w:pPr>
      <w:r>
        <w:rPr>
          <w:rFonts w:ascii="Times New Roman" w:hAnsi="Times New Roman"/>
          <w:color w:val="00000A"/>
          <w:sz w:val="28"/>
        </w:rPr>
        <w:t>впровадження автоматичних перевірок та моніторингу ризикових операцій через алгоритми штучного інтелекту, що допоможе швидко ідентифікувати підозрілі операції та «скрутки»;</w:t>
      </w:r>
    </w:p>
    <w:p w:rsidR="0071516E" w:rsidRPr="004B0458" w:rsidRDefault="0071516E" w:rsidP="004B0458">
      <w:pPr>
        <w:numPr>
          <w:ilvl w:val="0"/>
          <w:numId w:val="2"/>
        </w:num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розширення електронного документообігу, що дозволить зменшити адміністративне навантаження на бізнес і сприятиме прозорості операцій.</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 xml:space="preserve">Автоматизація процесів допоможе скоротити корупційні ризики та сприятиме більшій прозорості податкової системи. За оцінками експертів, повна цифровізація може зменшити втрати бюджету на 20-30% за рахунок усунення зловживань із «скрутками» та псевдоекспортом </w:t>
      </w:r>
      <w:r w:rsidRPr="004B0458">
        <w:rPr>
          <w:rFonts w:ascii="Times New Roman" w:hAnsi="Times New Roman"/>
          <w:sz w:val="28"/>
          <w:lang w:val="ru-RU"/>
        </w:rPr>
        <w:t>[5]</w:t>
      </w:r>
      <w:r w:rsidRPr="004B0458">
        <w:rPr>
          <w:rFonts w:ascii="Times New Roman" w:hAnsi="Times New Roman"/>
          <w:color w:val="00000A"/>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Для заохочення сумлінного виконання податкових зобов'язань можна створити "білий список" платників ПДВ:</w:t>
      </w:r>
    </w:p>
    <w:p w:rsidR="0071516E" w:rsidRPr="004B0458" w:rsidRDefault="0071516E" w:rsidP="004B0458">
      <w:pPr>
        <w:numPr>
          <w:ilvl w:val="0"/>
          <w:numId w:val="2"/>
        </w:numPr>
        <w:tabs>
          <w:tab w:val="left" w:pos="8100"/>
        </w:tabs>
        <w:spacing w:after="0" w:line="360" w:lineRule="auto"/>
        <w:ind w:left="180" w:right="26" w:firstLine="540"/>
        <w:jc w:val="both"/>
        <w:rPr>
          <w:rFonts w:ascii="Times New Roman" w:hAnsi="Times New Roman"/>
          <w:color w:val="00000A"/>
          <w:sz w:val="28"/>
          <w:lang w:val="ru-RU"/>
        </w:rPr>
      </w:pPr>
      <w:r w:rsidRPr="004B0458">
        <w:rPr>
          <w:rFonts w:ascii="Times New Roman" w:hAnsi="Times New Roman"/>
          <w:color w:val="00000A"/>
          <w:sz w:val="28"/>
          <w:lang w:val="ru-RU"/>
        </w:rPr>
        <w:t>запровадження спрощених процедур перевірок для підприємств із позитивною податковою історією. Такі компанії можуть рідше піддаватися перевіркам, що знижує адміністративне навантаження;</w:t>
      </w:r>
    </w:p>
    <w:p w:rsidR="0071516E" w:rsidRPr="004B0458" w:rsidRDefault="0071516E" w:rsidP="004B0458">
      <w:pPr>
        <w:numPr>
          <w:ilvl w:val="0"/>
          <w:numId w:val="2"/>
        </w:numPr>
        <w:tabs>
          <w:tab w:val="left" w:pos="8100"/>
        </w:tabs>
        <w:spacing w:after="0" w:line="360" w:lineRule="auto"/>
        <w:ind w:left="180" w:right="26" w:firstLine="540"/>
        <w:jc w:val="both"/>
        <w:rPr>
          <w:rFonts w:ascii="Times New Roman" w:hAnsi="Times New Roman"/>
          <w:color w:val="000000"/>
          <w:sz w:val="28"/>
          <w:lang w:val="ru-RU"/>
        </w:rPr>
      </w:pPr>
      <w:r w:rsidRPr="004B0458">
        <w:rPr>
          <w:rFonts w:ascii="Times New Roman" w:hAnsi="Times New Roman"/>
          <w:color w:val="00000A"/>
          <w:sz w:val="28"/>
          <w:lang w:val="ru-RU"/>
        </w:rPr>
        <w:t xml:space="preserve">надання преференцій у відшкодуванні ПДВ для підприємств із «білого списку». Це може підвищити мотивацію до дотримання законодавства. Такі інструменти створюють додаткові стимули для прозорої роботи бізнесу та можуть підвищити ефективність системи ПДВ </w:t>
      </w:r>
      <w:r w:rsidRPr="004B0458">
        <w:rPr>
          <w:rFonts w:ascii="Times New Roman" w:hAnsi="Times New Roman"/>
          <w:sz w:val="28"/>
          <w:lang w:val="ru-RU"/>
        </w:rPr>
        <w:t>[7]</w:t>
      </w:r>
      <w:r w:rsidRPr="004B0458">
        <w:rPr>
          <w:rFonts w:ascii="Times New Roman" w:hAnsi="Times New Roman"/>
          <w:color w:val="00000A"/>
          <w:sz w:val="28"/>
          <w:lang w:val="ru-RU"/>
        </w:rPr>
        <w:t>.</w:t>
      </w:r>
    </w:p>
    <w:p w:rsidR="0071516E" w:rsidRPr="004B0458" w:rsidRDefault="0071516E" w:rsidP="004B0458">
      <w:pPr>
        <w:tabs>
          <w:tab w:val="left" w:pos="8100"/>
          <w:tab w:val="left" w:pos="8910"/>
        </w:tabs>
        <w:spacing w:after="0" w:line="360" w:lineRule="auto"/>
        <w:ind w:left="180" w:right="26" w:firstLine="540"/>
        <w:jc w:val="both"/>
        <w:rPr>
          <w:rFonts w:ascii="Times New Roman" w:hAnsi="Times New Roman"/>
          <w:b/>
          <w:color w:val="000000"/>
          <w:sz w:val="28"/>
          <w:lang w:val="ru-RU"/>
        </w:rPr>
      </w:pPr>
      <w:r w:rsidRPr="004B0458">
        <w:rPr>
          <w:rFonts w:ascii="Times New Roman" w:hAnsi="Times New Roman"/>
          <w:b/>
          <w:color w:val="000000"/>
          <w:sz w:val="28"/>
          <w:lang w:val="ru-RU"/>
        </w:rPr>
        <w:t>Література:</w:t>
      </w:r>
    </w:p>
    <w:p w:rsidR="0071516E" w:rsidRPr="004B0458" w:rsidRDefault="0071516E" w:rsidP="004B0458">
      <w:pPr>
        <w:tabs>
          <w:tab w:val="left" w:pos="8100"/>
          <w:tab w:val="left" w:pos="8910"/>
        </w:tabs>
        <w:spacing w:after="0" w:line="360" w:lineRule="auto"/>
        <w:ind w:left="180" w:right="26" w:firstLine="540"/>
        <w:jc w:val="both"/>
        <w:rPr>
          <w:rFonts w:ascii="Times New Roman" w:hAnsi="Times New Roman"/>
          <w:color w:val="000000"/>
          <w:sz w:val="28"/>
          <w:lang w:val="ru-RU"/>
        </w:rPr>
      </w:pPr>
      <w:r w:rsidRPr="004B0458">
        <w:rPr>
          <w:rFonts w:ascii="Times New Roman" w:hAnsi="Times New Roman"/>
          <w:color w:val="000000"/>
          <w:sz w:val="28"/>
          <w:lang w:val="ru-RU"/>
        </w:rPr>
        <w:t xml:space="preserve"> 1. Енциклопедія Сучасної України </w:t>
      </w:r>
      <w:r>
        <w:rPr>
          <w:rFonts w:ascii="Times New Roman" w:hAnsi="Times New Roman"/>
          <w:color w:val="000000"/>
          <w:sz w:val="28"/>
        </w:rPr>
        <w:t>https</w:t>
      </w:r>
      <w:r w:rsidRPr="004B0458">
        <w:rPr>
          <w:rFonts w:ascii="Times New Roman" w:hAnsi="Times New Roman"/>
          <w:color w:val="000000"/>
          <w:sz w:val="28"/>
          <w:lang w:val="ru-RU"/>
        </w:rPr>
        <w:t>://</w:t>
      </w:r>
      <w:r>
        <w:rPr>
          <w:rFonts w:ascii="Times New Roman" w:hAnsi="Times New Roman"/>
          <w:color w:val="000000"/>
          <w:sz w:val="28"/>
        </w:rPr>
        <w:t>esu</w:t>
      </w:r>
      <w:r w:rsidRPr="004B0458">
        <w:rPr>
          <w:rFonts w:ascii="Times New Roman" w:hAnsi="Times New Roman"/>
          <w:color w:val="000000"/>
          <w:sz w:val="28"/>
          <w:lang w:val="ru-RU"/>
        </w:rPr>
        <w:t>.</w:t>
      </w:r>
      <w:r>
        <w:rPr>
          <w:rFonts w:ascii="Times New Roman" w:hAnsi="Times New Roman"/>
          <w:color w:val="000000"/>
          <w:sz w:val="28"/>
        </w:rPr>
        <w:t>com</w:t>
      </w:r>
      <w:r w:rsidRPr="004B0458">
        <w:rPr>
          <w:rFonts w:ascii="Times New Roman" w:hAnsi="Times New Roman"/>
          <w:color w:val="000000"/>
          <w:sz w:val="28"/>
          <w:lang w:val="ru-RU"/>
        </w:rPr>
        <w:t>.</w:t>
      </w:r>
      <w:r>
        <w:rPr>
          <w:rFonts w:ascii="Times New Roman" w:hAnsi="Times New Roman"/>
          <w:color w:val="000000"/>
          <w:sz w:val="28"/>
        </w:rPr>
        <w:t>ua</w:t>
      </w:r>
      <w:r w:rsidRPr="004B0458">
        <w:rPr>
          <w:rFonts w:ascii="Times New Roman" w:hAnsi="Times New Roman"/>
          <w:color w:val="000000"/>
          <w:sz w:val="28"/>
          <w:lang w:val="ru-RU"/>
        </w:rPr>
        <w:t>/</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0"/>
          <w:sz w:val="28"/>
          <w:lang w:val="ru-RU"/>
        </w:rPr>
      </w:pPr>
      <w:r w:rsidRPr="004B0458">
        <w:rPr>
          <w:rFonts w:ascii="Times New Roman" w:hAnsi="Times New Roman"/>
          <w:color w:val="000000"/>
          <w:sz w:val="28"/>
          <w:lang w:val="ru-RU"/>
        </w:rPr>
        <w:t>2. О. С. Сенишин, М. О. Горинь, О. О. Кундицький,навчальний посібник : Державне регулювання економіки,  с. 16-17</w:t>
      </w:r>
    </w:p>
    <w:p w:rsidR="0071516E" w:rsidRPr="004B0458" w:rsidRDefault="0071516E" w:rsidP="004B0458">
      <w:pPr>
        <w:tabs>
          <w:tab w:val="left" w:pos="8100"/>
        </w:tabs>
        <w:spacing w:after="0" w:line="360" w:lineRule="auto"/>
        <w:ind w:left="180" w:right="26" w:firstLine="540"/>
        <w:jc w:val="both"/>
        <w:rPr>
          <w:rFonts w:ascii="Times New Roman" w:hAnsi="Times New Roman"/>
          <w:color w:val="000000"/>
          <w:sz w:val="28"/>
          <w:lang w:val="ru-RU"/>
        </w:rPr>
      </w:pPr>
      <w:r w:rsidRPr="004B0458">
        <w:rPr>
          <w:rFonts w:ascii="Times New Roman" w:hAnsi="Times New Roman"/>
          <w:color w:val="000000"/>
          <w:sz w:val="28"/>
          <w:lang w:val="ru-RU"/>
        </w:rPr>
        <w:t>3. Гречко, А. В. (2022). Податкова система: конспект лекцій.;с.10</w:t>
      </w:r>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color w:val="000000"/>
          <w:sz w:val="28"/>
          <w:lang w:val="ru-RU"/>
        </w:rPr>
        <w:t xml:space="preserve">4. </w:t>
      </w:r>
      <w:r w:rsidRPr="004B0458">
        <w:rPr>
          <w:rFonts w:ascii="Times New Roman" w:hAnsi="Times New Roman"/>
          <w:sz w:val="28"/>
          <w:lang w:val="ru-RU"/>
        </w:rPr>
        <w:t xml:space="preserve">Звіт про стан тіньової економіки в Україні </w:t>
      </w:r>
      <w:hyperlink r:id="rId5" w:tgtFrame="_new" w:history="1">
        <w:r>
          <w:rPr>
            <w:rFonts w:ascii="Times New Roman" w:hAnsi="Times New Roman"/>
            <w:color w:val="0000FF"/>
            <w:sz w:val="28"/>
            <w:u w:val="single"/>
          </w:rPr>
          <w:t>https</w:t>
        </w:r>
        <w:r w:rsidRPr="004B0458">
          <w:rPr>
            <w:rFonts w:ascii="Times New Roman" w:hAnsi="Times New Roman"/>
            <w:color w:val="0000FF"/>
            <w:sz w:val="28"/>
            <w:u w:val="single"/>
            <w:lang w:val="ru-RU"/>
          </w:rPr>
          <w:t>://</w:t>
        </w:r>
        <w:r>
          <w:rPr>
            <w:rFonts w:ascii="Times New Roman" w:hAnsi="Times New Roman"/>
            <w:color w:val="0000FF"/>
            <w:sz w:val="28"/>
            <w:u w:val="single"/>
          </w:rPr>
          <w:t>www</w:t>
        </w:r>
        <w:r w:rsidRPr="004B0458">
          <w:rPr>
            <w:rFonts w:ascii="Times New Roman" w:hAnsi="Times New Roman"/>
            <w:color w:val="0000FF"/>
            <w:sz w:val="28"/>
            <w:u w:val="single"/>
            <w:lang w:val="ru-RU"/>
          </w:rPr>
          <w:t>.</w:t>
        </w:r>
        <w:r>
          <w:rPr>
            <w:rFonts w:ascii="Times New Roman" w:hAnsi="Times New Roman"/>
            <w:color w:val="0000FF"/>
            <w:sz w:val="28"/>
            <w:u w:val="single"/>
          </w:rPr>
          <w:t>me</w:t>
        </w:r>
        <w:r w:rsidRPr="004B0458">
          <w:rPr>
            <w:rFonts w:ascii="Times New Roman" w:hAnsi="Times New Roman"/>
            <w:color w:val="0000FF"/>
            <w:sz w:val="28"/>
            <w:u w:val="single"/>
            <w:lang w:val="ru-RU"/>
          </w:rPr>
          <w:t>.</w:t>
        </w:r>
        <w:r>
          <w:rPr>
            <w:rFonts w:ascii="Times New Roman" w:hAnsi="Times New Roman"/>
            <w:color w:val="0000FF"/>
            <w:sz w:val="28"/>
            <w:u w:val="single"/>
          </w:rPr>
          <w:t>gov</w:t>
        </w:r>
        <w:r w:rsidRPr="004B0458">
          <w:rPr>
            <w:rFonts w:ascii="Times New Roman" w:hAnsi="Times New Roman"/>
            <w:color w:val="0000FF"/>
            <w:sz w:val="28"/>
            <w:u w:val="single"/>
            <w:lang w:val="ru-RU"/>
          </w:rPr>
          <w:t>.</w:t>
        </w:r>
        <w:r>
          <w:rPr>
            <w:rFonts w:ascii="Times New Roman" w:hAnsi="Times New Roman"/>
            <w:color w:val="0000FF"/>
            <w:sz w:val="28"/>
            <w:u w:val="single"/>
          </w:rPr>
          <w:t>ua</w:t>
        </w:r>
      </w:hyperlink>
    </w:p>
    <w:p w:rsidR="0071516E" w:rsidRDefault="0071516E" w:rsidP="004B0458">
      <w:pPr>
        <w:tabs>
          <w:tab w:val="left" w:pos="8100"/>
        </w:tabs>
        <w:spacing w:after="0" w:line="360" w:lineRule="auto"/>
        <w:ind w:left="180" w:right="26" w:firstLine="540"/>
        <w:jc w:val="both"/>
        <w:rPr>
          <w:rFonts w:ascii="Times New Roman" w:hAnsi="Times New Roman"/>
          <w:sz w:val="28"/>
        </w:rPr>
      </w:pPr>
      <w:r>
        <w:rPr>
          <w:rFonts w:ascii="Times New Roman" w:hAnsi="Times New Roman"/>
          <w:sz w:val="28"/>
        </w:rPr>
        <w:t xml:space="preserve">5. Світовий банк Звіт "Doing Business 2022" </w:t>
      </w:r>
      <w:hyperlink r:id="rId6" w:tgtFrame="_new" w:history="1">
        <w:r>
          <w:rPr>
            <w:rFonts w:ascii="Times New Roman" w:hAnsi="Times New Roman"/>
            <w:color w:val="0000FF"/>
            <w:sz w:val="28"/>
            <w:u w:val="single"/>
          </w:rPr>
          <w:t>https://www.worldbank.org/en/programs/business-enabling-environment</w:t>
        </w:r>
      </w:hyperlink>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sz w:val="28"/>
          <w:lang w:val="ru-RU"/>
        </w:rPr>
        <w:t>6. Офіційний вебсайт ДПС України (</w:t>
      </w:r>
      <w:hyperlink r:id="rId7" w:tgtFrame="_new" w:history="1">
        <w:r>
          <w:rPr>
            <w:rFonts w:ascii="Times New Roman" w:hAnsi="Times New Roman"/>
            <w:color w:val="0000FF"/>
            <w:sz w:val="28"/>
            <w:u w:val="single"/>
          </w:rPr>
          <w:t>https</w:t>
        </w:r>
        <w:r w:rsidRPr="004B0458">
          <w:rPr>
            <w:rFonts w:ascii="Times New Roman" w:hAnsi="Times New Roman"/>
            <w:color w:val="0000FF"/>
            <w:sz w:val="28"/>
            <w:u w:val="single"/>
            <w:lang w:val="ru-RU"/>
          </w:rPr>
          <w:t>://</w:t>
        </w:r>
        <w:r>
          <w:rPr>
            <w:rFonts w:ascii="Times New Roman" w:hAnsi="Times New Roman"/>
            <w:color w:val="0000FF"/>
            <w:sz w:val="28"/>
            <w:u w:val="single"/>
          </w:rPr>
          <w:t>tax</w:t>
        </w:r>
        <w:r w:rsidRPr="004B0458">
          <w:rPr>
            <w:rFonts w:ascii="Times New Roman" w:hAnsi="Times New Roman"/>
            <w:color w:val="0000FF"/>
            <w:sz w:val="28"/>
            <w:u w:val="single"/>
            <w:lang w:val="ru-RU"/>
          </w:rPr>
          <w:t>.</w:t>
        </w:r>
        <w:r>
          <w:rPr>
            <w:rFonts w:ascii="Times New Roman" w:hAnsi="Times New Roman"/>
            <w:color w:val="0000FF"/>
            <w:sz w:val="28"/>
            <w:u w:val="single"/>
          </w:rPr>
          <w:t>gov</w:t>
        </w:r>
        <w:r w:rsidRPr="004B0458">
          <w:rPr>
            <w:rFonts w:ascii="Times New Roman" w:hAnsi="Times New Roman"/>
            <w:color w:val="0000FF"/>
            <w:sz w:val="28"/>
            <w:u w:val="single"/>
            <w:lang w:val="ru-RU"/>
          </w:rPr>
          <w:t>.</w:t>
        </w:r>
        <w:r>
          <w:rPr>
            <w:rFonts w:ascii="Times New Roman" w:hAnsi="Times New Roman"/>
            <w:color w:val="0000FF"/>
            <w:sz w:val="28"/>
            <w:u w:val="single"/>
          </w:rPr>
          <w:t>ua</w:t>
        </w:r>
      </w:hyperlink>
      <w:r w:rsidRPr="004B0458">
        <w:rPr>
          <w:rFonts w:ascii="Times New Roman" w:hAnsi="Times New Roman"/>
          <w:sz w:val="28"/>
          <w:lang w:val="ru-RU"/>
        </w:rPr>
        <w:t xml:space="preserve">) </w:t>
      </w:r>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sz w:val="28"/>
          <w:lang w:val="ru-RU"/>
        </w:rPr>
        <w:t xml:space="preserve">7. Міжнародний валютний фонд (МВФ) Рекомендації та звіти МВФ щодо фіскальної політики в Україні </w:t>
      </w:r>
      <w:hyperlink r:id="rId8" w:tgtFrame="_new" w:history="1">
        <w:r>
          <w:rPr>
            <w:rFonts w:ascii="Times New Roman" w:hAnsi="Times New Roman"/>
            <w:color w:val="0000FF"/>
            <w:sz w:val="28"/>
            <w:u w:val="single"/>
          </w:rPr>
          <w:t>https</w:t>
        </w:r>
        <w:r w:rsidRPr="004B0458">
          <w:rPr>
            <w:rFonts w:ascii="Times New Roman" w:hAnsi="Times New Roman"/>
            <w:color w:val="0000FF"/>
            <w:sz w:val="28"/>
            <w:u w:val="single"/>
            <w:lang w:val="ru-RU"/>
          </w:rPr>
          <w:t>://</w:t>
        </w:r>
        <w:r>
          <w:rPr>
            <w:rFonts w:ascii="Times New Roman" w:hAnsi="Times New Roman"/>
            <w:color w:val="0000FF"/>
            <w:sz w:val="28"/>
            <w:u w:val="single"/>
          </w:rPr>
          <w:t>www</w:t>
        </w:r>
        <w:r w:rsidRPr="004B0458">
          <w:rPr>
            <w:rFonts w:ascii="Times New Roman" w:hAnsi="Times New Roman"/>
            <w:color w:val="0000FF"/>
            <w:sz w:val="28"/>
            <w:u w:val="single"/>
            <w:lang w:val="ru-RU"/>
          </w:rPr>
          <w:t>.</w:t>
        </w:r>
        <w:r>
          <w:rPr>
            <w:rFonts w:ascii="Times New Roman" w:hAnsi="Times New Roman"/>
            <w:color w:val="0000FF"/>
            <w:sz w:val="28"/>
            <w:u w:val="single"/>
          </w:rPr>
          <w:t>imf</w:t>
        </w:r>
        <w:r w:rsidRPr="004B0458">
          <w:rPr>
            <w:rFonts w:ascii="Times New Roman" w:hAnsi="Times New Roman"/>
            <w:color w:val="0000FF"/>
            <w:sz w:val="28"/>
            <w:u w:val="single"/>
            <w:lang w:val="ru-RU"/>
          </w:rPr>
          <w:t>.</w:t>
        </w:r>
        <w:r>
          <w:rPr>
            <w:rFonts w:ascii="Times New Roman" w:hAnsi="Times New Roman"/>
            <w:color w:val="0000FF"/>
            <w:sz w:val="28"/>
            <w:u w:val="single"/>
          </w:rPr>
          <w:t>org</w:t>
        </w:r>
      </w:hyperlink>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sz w:val="28"/>
          <w:lang w:val="ru-RU"/>
        </w:rPr>
        <w:t xml:space="preserve">8. Економічна правда </w:t>
      </w:r>
      <w:hyperlink r:id="rId9" w:history="1">
        <w:r>
          <w:rPr>
            <w:rFonts w:ascii="Times New Roman" w:hAnsi="Times New Roman"/>
            <w:color w:val="0000FF"/>
            <w:sz w:val="28"/>
            <w:u w:val="single"/>
          </w:rPr>
          <w:t>https</w:t>
        </w:r>
        <w:r w:rsidRPr="004B0458">
          <w:rPr>
            <w:rFonts w:ascii="Times New Roman" w:hAnsi="Times New Roman"/>
            <w:color w:val="0000FF"/>
            <w:sz w:val="28"/>
            <w:u w:val="single"/>
            <w:lang w:val="ru-RU"/>
          </w:rPr>
          <w:t>://</w:t>
        </w:r>
        <w:r>
          <w:rPr>
            <w:rFonts w:ascii="Times New Roman" w:hAnsi="Times New Roman"/>
            <w:color w:val="0000FF"/>
            <w:sz w:val="28"/>
            <w:u w:val="single"/>
          </w:rPr>
          <w:t>www</w:t>
        </w:r>
        <w:r w:rsidRPr="004B0458">
          <w:rPr>
            <w:rFonts w:ascii="Times New Roman" w:hAnsi="Times New Roman"/>
            <w:color w:val="0000FF"/>
            <w:sz w:val="28"/>
            <w:u w:val="single"/>
            <w:lang w:val="ru-RU"/>
          </w:rPr>
          <w:t>.</w:t>
        </w:r>
        <w:r>
          <w:rPr>
            <w:rFonts w:ascii="Times New Roman" w:hAnsi="Times New Roman"/>
            <w:color w:val="0000FF"/>
            <w:sz w:val="28"/>
            <w:u w:val="single"/>
          </w:rPr>
          <w:t>epravda</w:t>
        </w:r>
        <w:r w:rsidRPr="004B0458">
          <w:rPr>
            <w:rFonts w:ascii="Times New Roman" w:hAnsi="Times New Roman"/>
            <w:color w:val="0000FF"/>
            <w:sz w:val="28"/>
            <w:u w:val="single"/>
            <w:lang w:val="ru-RU"/>
          </w:rPr>
          <w:t>.</w:t>
        </w:r>
        <w:r>
          <w:rPr>
            <w:rFonts w:ascii="Times New Roman" w:hAnsi="Times New Roman"/>
            <w:color w:val="0000FF"/>
            <w:sz w:val="28"/>
            <w:u w:val="single"/>
          </w:rPr>
          <w:t>com</w:t>
        </w:r>
        <w:r w:rsidRPr="004B0458">
          <w:rPr>
            <w:rFonts w:ascii="Times New Roman" w:hAnsi="Times New Roman"/>
            <w:color w:val="0000FF"/>
            <w:sz w:val="28"/>
            <w:u w:val="single"/>
            <w:lang w:val="ru-RU"/>
          </w:rPr>
          <w:t>.</w:t>
        </w:r>
        <w:r>
          <w:rPr>
            <w:rFonts w:ascii="Times New Roman" w:hAnsi="Times New Roman"/>
            <w:color w:val="0000FF"/>
            <w:sz w:val="28"/>
            <w:u w:val="single"/>
          </w:rPr>
          <w:t>ua</w:t>
        </w:r>
      </w:hyperlink>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sz w:val="28"/>
          <w:lang w:val="ru-RU"/>
        </w:rPr>
        <w:t>9. М. Г. Волощук І. І. Матьола, Монографія : Становлення та розвиток податкової системи України , (2021) с. 64-69</w:t>
      </w:r>
    </w:p>
    <w:p w:rsidR="0071516E" w:rsidRPr="004B0458" w:rsidRDefault="0071516E" w:rsidP="004B0458">
      <w:pPr>
        <w:tabs>
          <w:tab w:val="left" w:pos="8100"/>
        </w:tabs>
        <w:spacing w:after="0" w:line="360" w:lineRule="auto"/>
        <w:ind w:left="180" w:right="26" w:firstLine="540"/>
        <w:jc w:val="both"/>
        <w:rPr>
          <w:rFonts w:ascii="Times New Roman" w:hAnsi="Times New Roman"/>
          <w:sz w:val="28"/>
          <w:lang w:val="ru-RU"/>
        </w:rPr>
      </w:pPr>
      <w:r w:rsidRPr="004B0458">
        <w:rPr>
          <w:rFonts w:ascii="Times New Roman" w:hAnsi="Times New Roman"/>
          <w:sz w:val="28"/>
          <w:lang w:val="ru-RU"/>
        </w:rPr>
        <w:t>10. ОДЕУ (2019). Державне регулювання економіки: конспект лекцій, с. 11-12</w:t>
      </w:r>
    </w:p>
    <w:p w:rsidR="0071516E" w:rsidRPr="004B0458" w:rsidRDefault="0071516E" w:rsidP="004B0458">
      <w:pPr>
        <w:tabs>
          <w:tab w:val="left" w:pos="8100"/>
          <w:tab w:val="left" w:pos="9040"/>
        </w:tabs>
        <w:spacing w:after="0" w:line="360" w:lineRule="auto"/>
        <w:ind w:left="180" w:right="26" w:firstLine="540"/>
        <w:jc w:val="right"/>
        <w:rPr>
          <w:rFonts w:ascii="Times New Roman" w:hAnsi="Times New Roman"/>
          <w:b/>
          <w:sz w:val="28"/>
          <w:lang w:val="ru-RU"/>
        </w:rPr>
      </w:pPr>
      <w:r w:rsidRPr="004B0458">
        <w:rPr>
          <w:rFonts w:ascii="Times New Roman" w:hAnsi="Times New Roman"/>
          <w:b/>
          <w:sz w:val="28"/>
          <w:lang w:val="ru-RU"/>
        </w:rPr>
        <w:t>Науковий керівник:</w:t>
      </w:r>
    </w:p>
    <w:p w:rsidR="0071516E" w:rsidRPr="004B0458" w:rsidRDefault="0071516E" w:rsidP="004B0458">
      <w:pPr>
        <w:tabs>
          <w:tab w:val="left" w:pos="8100"/>
          <w:tab w:val="left" w:pos="9040"/>
        </w:tabs>
        <w:spacing w:after="0" w:line="360" w:lineRule="auto"/>
        <w:ind w:left="180" w:right="26" w:firstLine="540"/>
        <w:jc w:val="right"/>
        <w:rPr>
          <w:rFonts w:ascii="Times New Roman" w:hAnsi="Times New Roman"/>
          <w:sz w:val="28"/>
          <w:lang w:val="ru-RU"/>
        </w:rPr>
      </w:pPr>
      <w:r w:rsidRPr="004B0458">
        <w:rPr>
          <w:rFonts w:ascii="Times New Roman" w:hAnsi="Times New Roman"/>
          <w:sz w:val="28"/>
          <w:lang w:val="ru-RU"/>
        </w:rPr>
        <w:t>Андрющенко Олена Василівна</w:t>
      </w:r>
      <w:r>
        <w:rPr>
          <w:rFonts w:ascii="Times New Roman" w:hAnsi="Times New Roman"/>
          <w:sz w:val="28"/>
          <w:lang w:val="ru-RU"/>
        </w:rPr>
        <w:t>.</w:t>
      </w:r>
    </w:p>
    <w:p w:rsidR="0071516E" w:rsidRDefault="0071516E" w:rsidP="004B0458">
      <w:pPr>
        <w:tabs>
          <w:tab w:val="left" w:pos="8100"/>
          <w:tab w:val="left" w:pos="9040"/>
        </w:tabs>
        <w:spacing w:after="0" w:line="360" w:lineRule="auto"/>
        <w:ind w:left="180" w:right="26" w:firstLine="540"/>
        <w:jc w:val="both"/>
        <w:rPr>
          <w:rFonts w:ascii="Times New Roman" w:hAnsi="Times New Roman"/>
          <w:color w:val="000000"/>
          <w:sz w:val="28"/>
        </w:rPr>
      </w:pPr>
    </w:p>
    <w:sectPr w:rsidR="0071516E" w:rsidSect="00F97C43">
      <w:pgSz w:w="11906" w:h="16838" w:code="9"/>
      <w:pgMar w:top="1440" w:right="1440" w:bottom="1440" w:left="1440"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711A6"/>
    <w:multiLevelType w:val="hybridMultilevel"/>
    <w:tmpl w:val="FFFFFFFF"/>
    <w:lvl w:ilvl="0" w:tplc="60120A54">
      <w:start w:val="3"/>
      <w:numFmt w:val="bullet"/>
      <w:suff w:val="space"/>
      <w:lvlText w:val="-"/>
      <w:lvlJc w:val="left"/>
      <w:pPr>
        <w:ind w:left="1069" w:hanging="360"/>
      </w:pPr>
      <w:rPr>
        <w:rFonts w:ascii="Times New Roman" w:hAnsi="Times New Roman"/>
      </w:rPr>
    </w:lvl>
    <w:lvl w:ilvl="1" w:tplc="04190003">
      <w:start w:val="1"/>
      <w:numFmt w:val="bullet"/>
      <w:lvlText w:val="o"/>
      <w:lvlJc w:val="left"/>
      <w:pPr>
        <w:ind w:left="1789" w:hanging="360"/>
      </w:pPr>
      <w:rPr>
        <w:rFonts w:ascii="Courier New" w:hAnsi="Courier New"/>
      </w:rPr>
    </w:lvl>
    <w:lvl w:ilvl="2" w:tplc="04190005">
      <w:start w:val="1"/>
      <w:numFmt w:val="bullet"/>
      <w:lvlText w:val="§"/>
      <w:lvlJc w:val="left"/>
      <w:pPr>
        <w:ind w:left="2509" w:hanging="360"/>
      </w:pPr>
      <w:rPr>
        <w:rFonts w:ascii="Wingdings" w:hAnsi="Wingdings"/>
      </w:rPr>
    </w:lvl>
    <w:lvl w:ilvl="3" w:tplc="04190001">
      <w:start w:val="1"/>
      <w:numFmt w:val="bullet"/>
      <w:lvlText w:val="·"/>
      <w:lvlJc w:val="left"/>
      <w:pPr>
        <w:ind w:left="3229" w:hanging="360"/>
      </w:pPr>
      <w:rPr>
        <w:rFonts w:ascii="Symbol" w:hAnsi="Symbol"/>
      </w:rPr>
    </w:lvl>
    <w:lvl w:ilvl="4" w:tplc="04190003">
      <w:start w:val="1"/>
      <w:numFmt w:val="bullet"/>
      <w:lvlText w:val="o"/>
      <w:lvlJc w:val="left"/>
      <w:pPr>
        <w:ind w:left="3949" w:hanging="360"/>
      </w:pPr>
      <w:rPr>
        <w:rFonts w:ascii="Courier New" w:hAnsi="Courier New"/>
      </w:rPr>
    </w:lvl>
    <w:lvl w:ilvl="5" w:tplc="04190005">
      <w:start w:val="1"/>
      <w:numFmt w:val="bullet"/>
      <w:lvlText w:val="§"/>
      <w:lvlJc w:val="left"/>
      <w:pPr>
        <w:ind w:left="4669" w:hanging="360"/>
      </w:pPr>
      <w:rPr>
        <w:rFonts w:ascii="Wingdings" w:hAnsi="Wingdings"/>
      </w:rPr>
    </w:lvl>
    <w:lvl w:ilvl="6" w:tplc="04190001">
      <w:start w:val="1"/>
      <w:numFmt w:val="bullet"/>
      <w:lvlText w:val="·"/>
      <w:lvlJc w:val="left"/>
      <w:pPr>
        <w:ind w:left="5389" w:hanging="360"/>
      </w:pPr>
      <w:rPr>
        <w:rFonts w:ascii="Symbol" w:hAnsi="Symbol"/>
      </w:rPr>
    </w:lvl>
    <w:lvl w:ilvl="7" w:tplc="04190003">
      <w:start w:val="1"/>
      <w:numFmt w:val="bullet"/>
      <w:lvlText w:val="o"/>
      <w:lvlJc w:val="left"/>
      <w:pPr>
        <w:ind w:left="6109" w:hanging="360"/>
      </w:pPr>
      <w:rPr>
        <w:rFonts w:ascii="Courier New" w:hAnsi="Courier New"/>
      </w:rPr>
    </w:lvl>
    <w:lvl w:ilvl="8" w:tplc="04190005">
      <w:start w:val="1"/>
      <w:numFmt w:val="bullet"/>
      <w:lvlText w:val="§"/>
      <w:lvlJc w:val="left"/>
      <w:pPr>
        <w:ind w:left="6829" w:hanging="360"/>
      </w:pPr>
      <w:rPr>
        <w:rFonts w:ascii="Wingdings" w:hAnsi="Wingdings"/>
      </w:rPr>
    </w:lvl>
  </w:abstractNum>
  <w:abstractNum w:abstractNumId="1">
    <w:nsid w:val="7A10125D"/>
    <w:multiLevelType w:val="hybridMultilevel"/>
    <w:tmpl w:val="FFFFFFFF"/>
    <w:lvl w:ilvl="0" w:tplc="64C2D398">
      <w:start w:val="1"/>
      <w:numFmt w:val="bullet"/>
      <w:suff w:val="space"/>
      <w:lvlText w:val="-"/>
      <w:lvlJc w:val="left"/>
      <w:pPr>
        <w:ind w:left="1069" w:hanging="360"/>
      </w:pPr>
      <w:rPr>
        <w:rFonts w:ascii="Times New Roman" w:hAnsi="Times New Roman"/>
      </w:rPr>
    </w:lvl>
    <w:lvl w:ilvl="1" w:tplc="04190003">
      <w:start w:val="1"/>
      <w:numFmt w:val="bullet"/>
      <w:lvlText w:val="o"/>
      <w:lvlJc w:val="left"/>
      <w:pPr>
        <w:ind w:left="1789" w:hanging="360"/>
      </w:pPr>
      <w:rPr>
        <w:rFonts w:ascii="Courier New" w:hAnsi="Courier New"/>
      </w:rPr>
    </w:lvl>
    <w:lvl w:ilvl="2" w:tplc="04190005">
      <w:start w:val="1"/>
      <w:numFmt w:val="bullet"/>
      <w:lvlText w:val="§"/>
      <w:lvlJc w:val="left"/>
      <w:pPr>
        <w:ind w:left="2509" w:hanging="360"/>
      </w:pPr>
      <w:rPr>
        <w:rFonts w:ascii="Wingdings" w:hAnsi="Wingdings"/>
      </w:rPr>
    </w:lvl>
    <w:lvl w:ilvl="3" w:tplc="04190001">
      <w:start w:val="1"/>
      <w:numFmt w:val="bullet"/>
      <w:lvlText w:val="·"/>
      <w:lvlJc w:val="left"/>
      <w:pPr>
        <w:ind w:left="3229" w:hanging="360"/>
      </w:pPr>
      <w:rPr>
        <w:rFonts w:ascii="Symbol" w:hAnsi="Symbol"/>
      </w:rPr>
    </w:lvl>
    <w:lvl w:ilvl="4" w:tplc="04190003">
      <w:start w:val="1"/>
      <w:numFmt w:val="bullet"/>
      <w:lvlText w:val="o"/>
      <w:lvlJc w:val="left"/>
      <w:pPr>
        <w:ind w:left="3949" w:hanging="360"/>
      </w:pPr>
      <w:rPr>
        <w:rFonts w:ascii="Courier New" w:hAnsi="Courier New"/>
      </w:rPr>
    </w:lvl>
    <w:lvl w:ilvl="5" w:tplc="04190005">
      <w:start w:val="1"/>
      <w:numFmt w:val="bullet"/>
      <w:lvlText w:val="§"/>
      <w:lvlJc w:val="left"/>
      <w:pPr>
        <w:ind w:left="4669" w:hanging="360"/>
      </w:pPr>
      <w:rPr>
        <w:rFonts w:ascii="Wingdings" w:hAnsi="Wingdings"/>
      </w:rPr>
    </w:lvl>
    <w:lvl w:ilvl="6" w:tplc="04190001">
      <w:start w:val="1"/>
      <w:numFmt w:val="bullet"/>
      <w:lvlText w:val="·"/>
      <w:lvlJc w:val="left"/>
      <w:pPr>
        <w:ind w:left="5389" w:hanging="360"/>
      </w:pPr>
      <w:rPr>
        <w:rFonts w:ascii="Symbol" w:hAnsi="Symbol"/>
      </w:rPr>
    </w:lvl>
    <w:lvl w:ilvl="7" w:tplc="04190003">
      <w:start w:val="1"/>
      <w:numFmt w:val="bullet"/>
      <w:lvlText w:val="o"/>
      <w:lvlJc w:val="left"/>
      <w:pPr>
        <w:ind w:left="6109" w:hanging="360"/>
      </w:pPr>
      <w:rPr>
        <w:rFonts w:ascii="Courier New" w:hAnsi="Courier New"/>
      </w:rPr>
    </w:lvl>
    <w:lvl w:ilvl="8" w:tplc="04190005">
      <w:start w:val="1"/>
      <w:numFmt w:val="bullet"/>
      <w:lvlText w:val="§"/>
      <w:lvlJc w:val="left"/>
      <w:pPr>
        <w:ind w:left="6829" w:hanging="360"/>
      </w:pPr>
      <w:rPr>
        <w:rFonts w:ascii="Wingdings" w:hAnsi="Wingding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7C43"/>
    <w:rsid w:val="004B0458"/>
    <w:rsid w:val="0071516E"/>
    <w:rsid w:val="00E50498"/>
    <w:rsid w:val="00F931CC"/>
    <w:rsid w:val="00F97C4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C43"/>
    <w:pPr>
      <w:spacing w:after="160" w:line="259" w:lineRule="auto"/>
    </w:pPr>
    <w:rPr>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rsid w:val="00F97C43"/>
    <w:rPr>
      <w:rFonts w:cs="Times New Roman"/>
    </w:rPr>
  </w:style>
  <w:style w:type="character" w:styleId="Hyperlink">
    <w:name w:val="Hyperlink"/>
    <w:basedOn w:val="DefaultParagraphFont"/>
    <w:uiPriority w:val="99"/>
    <w:rsid w:val="00F97C43"/>
    <w:rPr>
      <w:rFonts w:cs="Times New Roman"/>
      <w:color w:val="0563C1"/>
      <w:u w:val="single"/>
    </w:rPr>
  </w:style>
  <w:style w:type="table" w:styleId="TableSimple1">
    <w:name w:val="Table Simple 1"/>
    <w:basedOn w:val="TableNormal"/>
    <w:uiPriority w:val="99"/>
    <w:rsid w:val="00F97C4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mf.org" TargetMode="External"/><Relationship Id="rId3" Type="http://schemas.openxmlformats.org/officeDocument/2006/relationships/settings" Target="settings.xml"/><Relationship Id="rId7" Type="http://schemas.openxmlformats.org/officeDocument/2006/relationships/hyperlink" Target="https://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rldbank.org/en/programs/business-enabling-environment" TargetMode="External"/><Relationship Id="rId11" Type="http://schemas.openxmlformats.org/officeDocument/2006/relationships/theme" Target="theme/theme1.xml"/><Relationship Id="rId5" Type="http://schemas.openxmlformats.org/officeDocument/2006/relationships/hyperlink" Target="https://www.me.gov.u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pravda.com.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6575</Words>
  <Characters>3749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2025-02-27T13:58:00Z</dcterms:created>
  <dcterms:modified xsi:type="dcterms:W3CDTF">2025-02-27T14:00:00Z</dcterms:modified>
</cp:coreProperties>
</file>