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447BE" w14:textId="7056B858" w:rsidR="00702DF6" w:rsidRPr="006D36FC" w:rsidRDefault="00702DF6" w:rsidP="00702DF6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D36FC">
        <w:rPr>
          <w:rFonts w:ascii="Times New Roman" w:hAnsi="Times New Roman" w:cs="Times New Roman"/>
          <w:b/>
          <w:bCs/>
          <w:sz w:val="28"/>
          <w:szCs w:val="28"/>
        </w:rPr>
        <w:t>Арбузова Анастасія</w:t>
      </w:r>
    </w:p>
    <w:p w14:paraId="61B60D41" w14:textId="1221B265" w:rsidR="006D36FC" w:rsidRPr="00071755" w:rsidRDefault="006D36FC" w:rsidP="00071755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D36FC">
        <w:rPr>
          <w:rFonts w:ascii="Times New Roman" w:hAnsi="Times New Roman" w:cs="Times New Roman"/>
          <w:sz w:val="28"/>
          <w:szCs w:val="28"/>
        </w:rPr>
        <w:t>(Ки</w:t>
      </w:r>
      <w:r w:rsidRPr="006D36FC">
        <w:rPr>
          <w:rFonts w:ascii="Times New Roman" w:hAnsi="Times New Roman" w:cs="Times New Roman"/>
          <w:sz w:val="28"/>
          <w:szCs w:val="28"/>
          <w:lang w:val="uk-UA"/>
        </w:rPr>
        <w:t>їв, Україна)</w:t>
      </w:r>
    </w:p>
    <w:p w14:paraId="3FA702D4" w14:textId="7388E507" w:rsidR="006D36FC" w:rsidRPr="006D36FC" w:rsidRDefault="006D36FC" w:rsidP="006D3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6D36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ФІЛОЛОГІЧНІ НАУКИ</w:t>
      </w:r>
      <w:r w:rsidRPr="006D36F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</w:t>
      </w:r>
      <w:r w:rsidRPr="006D36F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Риторика і стилістика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)</w:t>
      </w:r>
    </w:p>
    <w:p w14:paraId="13166BE6" w14:textId="015EF035" w:rsidR="00AA57D7" w:rsidRPr="00AA57D7" w:rsidRDefault="00AA57D7" w:rsidP="00702DF6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57D7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702DF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ОЛЬ ОРАТОРСЬКОГО МИСТЕЦТВА</w:t>
      </w:r>
      <w:r w:rsidRPr="00AA57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2D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МАНІПУЛЯЦІЇ МАСОВИМИ АУДИТОРІЯМИ В ПОЛІТИЧНІЙ СФЕРІ: </w:t>
      </w:r>
      <w:r w:rsidR="000C53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АСПЕКТИ ЕКТИКИ ТА МОРАЛІ </w:t>
      </w:r>
    </w:p>
    <w:p w14:paraId="4B0AEFC7" w14:textId="77777777" w:rsidR="00AA57D7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Ораторське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невід’ємним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інструментом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легітимації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суспільно-політичному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політичному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недооцінене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моделювання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поведінкових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патернів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забарвлення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ідентичність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ефективність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ораторського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супроводжується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маніпулятивних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викликають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дилеми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свідомість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987B16" w14:textId="24B6E594" w:rsidR="00AA57D7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підґрунтя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риторики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закладене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Аристотель 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«Риторика»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сформулював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концептуальні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засади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виокремивши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313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ethos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етичний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авторитет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промовця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7313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pathos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proofErr w:type="spellStart"/>
      <w:r w:rsidRPr="007313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logos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аргументація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1902" w:rsidRPr="007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донині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класичну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тріаду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риторичного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характеризується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надміром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поляризацією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настроїв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розвитком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риторика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02DF6"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02DF6" w:rsidRPr="00702DF6">
        <w:rPr>
          <w:rFonts w:ascii="Times New Roman" w:hAnsi="Times New Roman" w:cs="Times New Roman"/>
          <w:sz w:val="28"/>
          <w:szCs w:val="28"/>
        </w:rPr>
        <w:t>иконуючи</w:t>
      </w:r>
      <w:proofErr w:type="spellEnd"/>
      <w:r w:rsidR="00702DF6" w:rsidRPr="00702DF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702DF6" w:rsidRPr="00702DF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702DF6" w:rsidRPr="00702D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DF6" w:rsidRPr="00702DF6">
        <w:rPr>
          <w:rFonts w:ascii="Times New Roman" w:hAnsi="Times New Roman" w:cs="Times New Roman"/>
          <w:sz w:val="28"/>
          <w:szCs w:val="28"/>
        </w:rPr>
        <w:t>комунікативно-пізнавальну</w:t>
      </w:r>
      <w:proofErr w:type="spellEnd"/>
      <w:r w:rsidR="00702DF6" w:rsidRPr="00702DF6">
        <w:rPr>
          <w:rFonts w:ascii="Times New Roman" w:hAnsi="Times New Roman" w:cs="Times New Roman"/>
          <w:sz w:val="28"/>
          <w:szCs w:val="28"/>
        </w:rPr>
        <w:t xml:space="preserve">, але й </w:t>
      </w:r>
      <w:proofErr w:type="spellStart"/>
      <w:r w:rsidR="00702DF6" w:rsidRPr="00702DF6">
        <w:rPr>
          <w:rFonts w:ascii="Times New Roman" w:hAnsi="Times New Roman" w:cs="Times New Roman"/>
          <w:sz w:val="28"/>
          <w:szCs w:val="28"/>
        </w:rPr>
        <w:t>ідеологічну</w:t>
      </w:r>
      <w:proofErr w:type="spellEnd"/>
      <w:r w:rsidR="00702DF6" w:rsidRPr="00702D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DF6" w:rsidRPr="00702DF6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="00702DF6" w:rsidRPr="00702DF6">
        <w:rPr>
          <w:rFonts w:ascii="Times New Roman" w:hAnsi="Times New Roman" w:cs="Times New Roman"/>
          <w:sz w:val="28"/>
          <w:szCs w:val="28"/>
        </w:rPr>
        <w:t>, там самим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перетворюючись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психологічного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тиску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маніпуляції</w:t>
      </w:r>
      <w:proofErr w:type="spellEnd"/>
      <w:r w:rsid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DF6"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="000717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4</w:t>
      </w:r>
      <w:r w:rsidR="00702DF6"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41B747" w14:textId="6A4CA666" w:rsidR="00731374" w:rsidRPr="00731374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маніпулятивних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політичному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дискурсі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виокремити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20C1A2" w14:textId="2FB09300" w:rsidR="00731374" w:rsidRPr="00731374" w:rsidRDefault="00731374" w:rsidP="00AA57D7">
      <w:pPr>
        <w:numPr>
          <w:ilvl w:val="0"/>
          <w:numId w:val="5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Фреймінг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подача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заздалегідь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сконструйовану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інтерпретаційну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рамку, яка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сприйматиме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явища</w:t>
      </w:r>
      <w:proofErr w:type="spellEnd"/>
      <w:r w:rsidR="00AA5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B14F74" w14:textId="5E2C839D" w:rsidR="00731374" w:rsidRPr="00731374" w:rsidRDefault="00731374" w:rsidP="00AA57D7">
      <w:pPr>
        <w:numPr>
          <w:ilvl w:val="0"/>
          <w:numId w:val="5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Емоційне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загострення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дискурсу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насичення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риторики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експресивно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забарвленою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апелює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страху,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обурення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гніву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співчуття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сприяючи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осмислення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717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17-21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41D0B5" w14:textId="77777777" w:rsidR="00731374" w:rsidRPr="00731374" w:rsidRDefault="00731374" w:rsidP="00AA57D7">
      <w:pPr>
        <w:numPr>
          <w:ilvl w:val="0"/>
          <w:numId w:val="5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Популістська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риторика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надмірне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соціально-політичних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дихотомії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 – вони»,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апеляція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уявної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народу»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делегітимація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F0991A" w14:textId="079CBFAE" w:rsidR="00731374" w:rsidRPr="00731374" w:rsidRDefault="00731374" w:rsidP="00AA57D7">
      <w:pPr>
        <w:numPr>
          <w:ilvl w:val="0"/>
          <w:numId w:val="5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Демагогічний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вплив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домінування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насичених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необґрунтованих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тез,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короткочасну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електорату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9E0A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17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1-26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2E631E" w14:textId="77777777" w:rsidR="00731374" w:rsidRPr="00731374" w:rsidRDefault="00731374" w:rsidP="00AA57D7">
      <w:pPr>
        <w:numPr>
          <w:ilvl w:val="0"/>
          <w:numId w:val="5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Створення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зовнішнього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внутрішнього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ворога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когнітивного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розмежування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нав’язуванні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загрози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консолідації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9D6CAA" w14:textId="3D358C43" w:rsidR="00731374" w:rsidRPr="00731374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Психологічні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експерименти</w:t>
      </w:r>
      <w:proofErr w:type="spellEnd"/>
      <w:r w:rsidR="00AA5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поведінкові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кшталт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диктатора»</w:t>
      </w:r>
      <w:r w:rsidR="00AA5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демонструють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«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крадіжки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суттєво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одних і тих самих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вчинків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самим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впливаючи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9E0A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A57D7" w:rsidRPr="00AA57D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риторика є не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засобом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механізмом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морального фрейму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свідомості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5E657D" w14:textId="77777777" w:rsidR="00731374" w:rsidRPr="00731374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особливого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імперативів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красномовство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них належать:</w:t>
      </w:r>
    </w:p>
    <w:p w14:paraId="54683AEF" w14:textId="01177DF3" w:rsidR="00731374" w:rsidRPr="00731374" w:rsidRDefault="00731374" w:rsidP="00AA57D7">
      <w:pPr>
        <w:numPr>
          <w:ilvl w:val="0"/>
          <w:numId w:val="6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достовірності</w:t>
      </w:r>
      <w:proofErr w:type="spellEnd"/>
      <w:r w:rsidR="009E0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автентичності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поданої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уникнення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маніпуляцій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фактами.</w:t>
      </w:r>
    </w:p>
    <w:p w14:paraId="3DA9CA73" w14:textId="77777777" w:rsidR="00731374" w:rsidRPr="00731374" w:rsidRDefault="00731374" w:rsidP="00AA57D7">
      <w:pPr>
        <w:numPr>
          <w:ilvl w:val="0"/>
          <w:numId w:val="6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поваги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суб’єктності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аудиторії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критичний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C87FA2" w14:textId="77777777" w:rsidR="00731374" w:rsidRPr="00731374" w:rsidRDefault="00731374" w:rsidP="00AA57D7">
      <w:pPr>
        <w:numPr>
          <w:ilvl w:val="0"/>
          <w:numId w:val="6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моральної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відповідальності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промовцем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наслідків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висловлювань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особливо в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кризових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напруження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D54C3B" w14:textId="0747491B" w:rsidR="00731374" w:rsidRPr="00731374" w:rsidRDefault="00AA57D7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Крім того, варто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істинний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оратор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не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майстром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слова, але й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носієм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повага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істини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 слухача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довготривалу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довіру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легітимність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публічному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="00D76A6F" w:rsidRPr="00D7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702DF6"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6A6F" w:rsidRPr="00D76A6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DA603A" w14:textId="77777777" w:rsidR="00731374" w:rsidRPr="00731374" w:rsidRDefault="00731374" w:rsidP="00AA57D7">
      <w:p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Зловживання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маніпулятивними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стратегіями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низку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негативних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наслідків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AA8761" w14:textId="77777777" w:rsidR="00731374" w:rsidRPr="00731374" w:rsidRDefault="00731374" w:rsidP="00AA57D7">
      <w:pPr>
        <w:numPr>
          <w:ilvl w:val="0"/>
          <w:numId w:val="7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Підрив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інституційної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довіри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дезінформації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дискредитує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очах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посилює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апатію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радикалізацію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188D40" w14:textId="77777777" w:rsidR="00731374" w:rsidRPr="00731374" w:rsidRDefault="00731374" w:rsidP="00AA57D7">
      <w:pPr>
        <w:numPr>
          <w:ilvl w:val="0"/>
          <w:numId w:val="7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Інфантилізація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масової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свідомості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надмірна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знижує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здатність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аудиторії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аналітичного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осмислення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EF9124" w14:textId="77777777" w:rsidR="00731374" w:rsidRPr="00731374" w:rsidRDefault="00731374" w:rsidP="00AA57D7">
      <w:pPr>
        <w:numPr>
          <w:ilvl w:val="0"/>
          <w:numId w:val="7"/>
        </w:numPr>
        <w:spacing w:after="0"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Легітимація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деструктивних</w:t>
      </w:r>
      <w:proofErr w:type="spellEnd"/>
      <w:r w:rsidRPr="00731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практик</w:t>
      </w:r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демагогічне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виправдання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суперечать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етичним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нормам,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призводити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морального </w:t>
      </w:r>
      <w:proofErr w:type="spellStart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релятивізму</w:t>
      </w:r>
      <w:proofErr w:type="spellEnd"/>
      <w:r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E19A18" w14:textId="77777777" w:rsidR="00071755" w:rsidRDefault="00AA57D7" w:rsidP="00071755">
      <w:pPr>
        <w:spacing w:line="360" w:lineRule="auto"/>
        <w:ind w:lef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</w:t>
      </w:r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ораторське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політичній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не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засобом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потужним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чинником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вимагає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зрілості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глибокого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аудиторії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стійкої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риторичної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традиції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ґрунтується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правдивості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поваги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гідності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</w:t>
      </w:r>
      <w:proofErr w:type="spellStart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індивіда</w:t>
      </w:r>
      <w:proofErr w:type="spellEnd"/>
      <w:r w:rsidR="00731374" w:rsidRPr="00731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B5883E" w14:textId="208DD99A" w:rsidR="00AA57D7" w:rsidRPr="00071755" w:rsidRDefault="00071755" w:rsidP="0007175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Література:</w:t>
      </w:r>
    </w:p>
    <w:p w14:paraId="29BEB5BB" w14:textId="14668885" w:rsidR="003A0678" w:rsidRDefault="00D76A6F" w:rsidP="006D38E2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Освіта </w:t>
      </w:r>
      <w:r w:rsidRPr="00D76A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 w:rsidRPr="00D7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Психологічні</w:t>
      </w:r>
      <w:proofErr w:type="spellEnd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та </w:t>
      </w:r>
      <w:proofErr w:type="spellStart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етичні</w:t>
      </w:r>
      <w:proofErr w:type="spellEnd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основи</w:t>
      </w:r>
      <w:proofErr w:type="spellEnd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спілкування</w:t>
      </w:r>
      <w:proofErr w:type="spellEnd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</w:t>
      </w:r>
      <w:proofErr w:type="spellStart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аудиторії</w:t>
      </w:r>
      <w:proofErr w:type="spellEnd"/>
      <w:r w:rsidRPr="000C532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  <w:r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6A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5" w:history="1"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://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osvita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ua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vnz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reports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culture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/10</w:t>
        </w:r>
        <w:r w:rsidRPr="00D76A6F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416/</w:t>
        </w:r>
      </w:hyperlink>
      <w:r w:rsidR="00761902"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</w:t>
      </w:r>
      <w:r w:rsidR="000C53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.04.2025)</w:t>
      </w:r>
      <w:r w:rsid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DD039BF" w14:textId="7DE2B642" w:rsidR="00702DF6" w:rsidRPr="00702DF6" w:rsidRDefault="00702DF6" w:rsidP="00702DF6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Нечаєнко</w:t>
      </w:r>
      <w:proofErr w:type="spellEnd"/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В.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Зміст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і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функції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ораторського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мистецтва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сучасному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суспільстві</w:t>
      </w:r>
      <w:proofErr w:type="spellEnd"/>
      <w:r w:rsidRPr="000A4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НАУККіМ</w:t>
      </w:r>
      <w:proofErr w:type="spellEnd"/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44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0A44D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</w:t>
        </w:r>
        <w:r w:rsidRPr="000A44D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://elib.nakkkim.edu.ua/handle/123456789/1567</w:t>
        </w:r>
      </w:hyperlink>
      <w:r w:rsidRPr="000A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</w:t>
      </w:r>
      <w:r w:rsidR="000C53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53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.04.2025).</w:t>
      </w:r>
    </w:p>
    <w:p w14:paraId="0E82B5DF" w14:textId="58FA77B3" w:rsidR="000A44D6" w:rsidRPr="00C123FD" w:rsidRDefault="000A44D6" w:rsidP="000A44D6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Мацько</w:t>
      </w:r>
      <w:proofErr w:type="spellEnd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Л., </w:t>
      </w:r>
      <w:proofErr w:type="spellStart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Мацько</w:t>
      </w:r>
      <w:proofErr w:type="spellEnd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</w:t>
      </w:r>
      <w:r w:rsidRPr="00C123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Риторика</w:t>
      </w:r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Видатництво</w:t>
      </w:r>
      <w:proofErr w:type="spellEnd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Академія</w:t>
      </w:r>
      <w:proofErr w:type="spellEnd"/>
      <w:r w:rsidRPr="00C1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2003. </w:t>
      </w:r>
      <w:r w:rsidRPr="00C123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tgtFrame="_new" w:history="1"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ukrr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eferat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hapter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book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ritorika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matsko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matsko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om</w:t>
        </w:r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-2003-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ritorika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kniga</w:t>
        </w:r>
        <w:proofErr w:type="spellEnd"/>
        <w:r w:rsidRPr="00702DF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C123F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  <w:r w:rsidR="00702DF6" w:rsidRPr="00702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DF6" w:rsidRPr="0053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</w:t>
      </w:r>
      <w:r w:rsidR="000C53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2DF6" w:rsidRPr="0053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.04.2025).</w:t>
      </w:r>
    </w:p>
    <w:p w14:paraId="341DFD9B" w14:textId="2528C72A" w:rsidR="003A0678" w:rsidRPr="006D38E2" w:rsidRDefault="00AA57D7" w:rsidP="006D38E2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Goffman, E. </w:t>
      </w:r>
      <w:r w:rsidRPr="006D38E2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Frame Analysis: An Essay on the Organization of Experience</w:t>
      </w:r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Cambridge, MA: Harvard University Press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1974. </w:t>
      </w:r>
      <w:r w:rsidR="006D38E2" w:rsidRPr="006D38E2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URL</w:t>
      </w:r>
      <w:r w:rsidR="006D38E2" w:rsidRPr="00A065BA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: </w:t>
      </w:r>
      <w:hyperlink r:id="rId8" w:history="1">
        <w:r w:rsidR="009E0A3A" w:rsidRPr="00DE5F5B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https://www.scirp.org/reference/referencespa</w:t>
        </w:r>
        <w:r w:rsidR="009E0A3A" w:rsidRPr="00DE5F5B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pers?referenceid=1135076</w:t>
        </w:r>
      </w:hyperlink>
      <w:r w:rsidR="003A0678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8E2"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13.04.2025)</w:t>
      </w:r>
      <w:r w:rsid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732D666" w14:textId="708D6DE1" w:rsidR="003A0678" w:rsidRPr="006D38E2" w:rsidRDefault="00AA57D7" w:rsidP="006D38E2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Marcus, G. E., Neuman, W. R., &amp; </w:t>
      </w:r>
      <w:proofErr w:type="spellStart"/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MacKuen</w:t>
      </w:r>
      <w:proofErr w:type="spellEnd"/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M. </w:t>
      </w:r>
      <w:r w:rsidRPr="006D38E2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Affective Intelligence and Political Judgment</w:t>
      </w:r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University of Chicago Press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="003A0678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2000. 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6D38E2" w:rsidRPr="00A065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9" w:history="1"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https://www.researchg</w:t>
        </w:r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ate.net/publication/37694302_Af</w:t>
        </w:r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fective_Intelligence_and_Political_Judgment</w:t>
        </w:r>
      </w:hyperlink>
      <w:r w:rsidR="003A0678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8E2"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13.04.2025)</w:t>
      </w:r>
      <w:r w:rsid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1CF22C1" w14:textId="5FBACF3C" w:rsidR="003A0678" w:rsidRPr="006D38E2" w:rsidRDefault="00AA57D7" w:rsidP="006D38E2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Laclau</w:t>
      </w:r>
      <w:proofErr w:type="spellEnd"/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E. </w:t>
      </w:r>
      <w:r w:rsidRPr="006D38E2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On Populist Reason</w:t>
      </w:r>
      <w:r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Verso</w:t>
      </w:r>
      <w:r w:rsidR="006D38E2" w:rsidRPr="00A065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0678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2005. 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6D38E2" w:rsidRPr="006D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https://archiv</w:t>
        </w:r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e.org/details/ernestolaclauonpopulistrea</w:t>
        </w:r>
        <w:r w:rsidR="003A0678" w:rsidRPr="006D38E2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sonverso2005</w:t>
        </w:r>
      </w:hyperlink>
      <w:r w:rsidR="003A0678" w:rsidRP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8E2" w:rsidRPr="00D76A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13.04.2025)</w:t>
      </w:r>
      <w:r w:rsidR="006D3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ED3797E" w14:textId="32AFE628" w:rsidR="00AA57D7" w:rsidRDefault="00537746" w:rsidP="000A44D6">
      <w:pPr>
        <w:pStyle w:val="a6"/>
        <w:numPr>
          <w:ilvl w:val="0"/>
          <w:numId w:val="8"/>
        </w:numPr>
        <w:spacing w:before="100" w:beforeAutospacing="1" w:after="100" w:afterAutospacing="1" w:line="276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7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Capraro V., Vanzo A. </w:t>
      </w:r>
      <w:r w:rsidRPr="00537746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The power of moral words: Loaded language generates framing effects in the extreme dictator game.</w:t>
      </w:r>
      <w:r w:rsidRPr="005377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URL: </w:t>
      </w:r>
      <w:hyperlink r:id="rId11" w:history="1">
        <w:r w:rsidRPr="0053774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53774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://arxiv.org/abs/1901.02314</w:t>
        </w:r>
      </w:hyperlink>
      <w:r w:rsidR="00D76A6F" w:rsidRPr="005377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3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13.04.2025).</w:t>
      </w:r>
    </w:p>
    <w:p w14:paraId="211D4CAC" w14:textId="77777777" w:rsidR="00071755" w:rsidRDefault="00071755" w:rsidP="00071755">
      <w:pPr>
        <w:pStyle w:val="a6"/>
        <w:spacing w:before="100" w:beforeAutospacing="1" w:after="100" w:afterAutospacing="1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57F0ED" w14:textId="69814722" w:rsidR="00071755" w:rsidRPr="00071755" w:rsidRDefault="00071755" w:rsidP="00071755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071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Науковий керівник: </w:t>
      </w:r>
    </w:p>
    <w:p w14:paraId="63C28FA8" w14:textId="77777777" w:rsidR="00071755" w:rsidRPr="00071755" w:rsidRDefault="00071755" w:rsidP="00071755">
      <w:pPr>
        <w:pStyle w:val="a6"/>
        <w:spacing w:after="0" w:line="276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кандидат 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історичних</w:t>
      </w:r>
      <w:proofErr w:type="spellEnd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наук,</w:t>
      </w:r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доцент, доцент 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кафедри</w:t>
      </w:r>
      <w:proofErr w:type="spellEnd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філософії</w:t>
      </w:r>
      <w:proofErr w:type="spellEnd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соціології</w:t>
      </w:r>
      <w:proofErr w:type="spellEnd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політології</w:t>
      </w:r>
      <w:proofErr w:type="spellEnd"/>
    </w:p>
    <w:p w14:paraId="5EC3AC31" w14:textId="77777777" w:rsidR="00071755" w:rsidRDefault="00071755" w:rsidP="00071755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71755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07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755">
        <w:rPr>
          <w:rFonts w:ascii="Times New Roman" w:hAnsi="Times New Roman" w:cs="Times New Roman"/>
          <w:sz w:val="28"/>
          <w:szCs w:val="28"/>
        </w:rPr>
        <w:t>торговельно-економічний</w:t>
      </w:r>
      <w:proofErr w:type="spellEnd"/>
      <w:r w:rsidRPr="0007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755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071755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A0E1EE3" w14:textId="13B1B4FC" w:rsidR="00071755" w:rsidRPr="00071755" w:rsidRDefault="00071755" w:rsidP="00071755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</w:t>
      </w:r>
      <w:proofErr w:type="spellStart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іцький</w:t>
      </w:r>
      <w:proofErr w:type="spellEnd"/>
      <w:r w:rsidRPr="000717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Віталій Йосипович</w:t>
      </w:r>
      <w:r w:rsidRPr="00071755">
        <w:rPr>
          <w:rFonts w:ascii="Times New Roman" w:hAnsi="Times New Roman" w:cs="Times New Roman"/>
          <w:sz w:val="28"/>
          <w:szCs w:val="28"/>
        </w:rPr>
        <w:br/>
      </w:r>
      <w:r w:rsidRPr="00071755">
        <w:rPr>
          <w:rFonts w:ascii="Times New Roman" w:hAnsi="Times New Roman" w:cs="Times New Roman"/>
          <w:sz w:val="28"/>
          <w:szCs w:val="28"/>
          <w:lang w:val="uk-UA"/>
        </w:rPr>
        <w:t xml:space="preserve">(Київ, </w:t>
      </w:r>
      <w:proofErr w:type="spellStart"/>
      <w:r w:rsidRPr="00071755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07175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2960EFE" w14:textId="77777777" w:rsidR="00071755" w:rsidRPr="00071755" w:rsidRDefault="00071755" w:rsidP="00071755">
      <w:pPr>
        <w:spacing w:before="100" w:beforeAutospacing="1" w:after="100" w:afterAutospacing="1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71755" w:rsidRPr="00071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73F"/>
    <w:multiLevelType w:val="multilevel"/>
    <w:tmpl w:val="35C6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367A8"/>
    <w:multiLevelType w:val="hybridMultilevel"/>
    <w:tmpl w:val="C8088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E415D"/>
    <w:multiLevelType w:val="multilevel"/>
    <w:tmpl w:val="B5E2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769D2"/>
    <w:multiLevelType w:val="multilevel"/>
    <w:tmpl w:val="F980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45362"/>
    <w:multiLevelType w:val="multilevel"/>
    <w:tmpl w:val="57A01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76582A"/>
    <w:multiLevelType w:val="multilevel"/>
    <w:tmpl w:val="26C4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1A5BBA"/>
    <w:multiLevelType w:val="multilevel"/>
    <w:tmpl w:val="549E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5576A4"/>
    <w:multiLevelType w:val="multilevel"/>
    <w:tmpl w:val="6166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0A"/>
    <w:rsid w:val="00071755"/>
    <w:rsid w:val="00092B59"/>
    <w:rsid w:val="000A44D6"/>
    <w:rsid w:val="000C532C"/>
    <w:rsid w:val="003A0678"/>
    <w:rsid w:val="00537746"/>
    <w:rsid w:val="006D36FC"/>
    <w:rsid w:val="006D38E2"/>
    <w:rsid w:val="00702DF6"/>
    <w:rsid w:val="00731374"/>
    <w:rsid w:val="00761902"/>
    <w:rsid w:val="009E0A3A"/>
    <w:rsid w:val="00A0550A"/>
    <w:rsid w:val="00A065BA"/>
    <w:rsid w:val="00AA57D7"/>
    <w:rsid w:val="00AF2199"/>
    <w:rsid w:val="00C123FD"/>
    <w:rsid w:val="00D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2577"/>
  <w15:chartTrackingRefBased/>
  <w15:docId w15:val="{D52775B6-87D0-4833-A307-A2D98D56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lative">
    <w:name w:val="relative"/>
    <w:basedOn w:val="a0"/>
    <w:rsid w:val="00731374"/>
  </w:style>
  <w:style w:type="character" w:styleId="a3">
    <w:name w:val="Strong"/>
    <w:basedOn w:val="a0"/>
    <w:uiPriority w:val="22"/>
    <w:qFormat/>
    <w:rsid w:val="00731374"/>
    <w:rPr>
      <w:b/>
      <w:bCs/>
    </w:rPr>
  </w:style>
  <w:style w:type="character" w:styleId="a4">
    <w:name w:val="Emphasis"/>
    <w:basedOn w:val="a0"/>
    <w:uiPriority w:val="20"/>
    <w:qFormat/>
    <w:rsid w:val="00731374"/>
    <w:rPr>
      <w:i/>
      <w:iCs/>
    </w:rPr>
  </w:style>
  <w:style w:type="character" w:styleId="a5">
    <w:name w:val="Hyperlink"/>
    <w:basedOn w:val="a0"/>
    <w:uiPriority w:val="99"/>
    <w:unhideWhenUsed/>
    <w:rsid w:val="00AA57D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A57D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61902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D76A6F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A0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rp.org/reference/referencespapers?referenceid=113507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rreferat.com/chapters_book/ritorika/matsko-li-matsko-om-2003-ritorika-knig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.nakkkim.edu.ua/handle/123456789/1567" TargetMode="External"/><Relationship Id="rId11" Type="http://schemas.openxmlformats.org/officeDocument/2006/relationships/hyperlink" Target="https://arxiv.org/abs/1901.02314" TargetMode="External"/><Relationship Id="rId5" Type="http://schemas.openxmlformats.org/officeDocument/2006/relationships/hyperlink" Target="https://osvita.ua/vnz/reports/culture/10416/" TargetMode="External"/><Relationship Id="rId10" Type="http://schemas.openxmlformats.org/officeDocument/2006/relationships/hyperlink" Target="https://archive.org/details/ernestolaclauonpopulistreasonverso2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37694302_Affective_Intelligence_and_Political_Judg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Арбузова Анастасія Вячеславівна</dc:creator>
  <cp:keywords/>
  <dc:description/>
  <cp:lastModifiedBy>Арбузова Анастасія Вячеславівна</cp:lastModifiedBy>
  <cp:revision>9</cp:revision>
  <dcterms:created xsi:type="dcterms:W3CDTF">2025-04-13T11:39:00Z</dcterms:created>
  <dcterms:modified xsi:type="dcterms:W3CDTF">2025-04-28T13:00:00Z</dcterms:modified>
</cp:coreProperties>
</file>