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2E" w:rsidRPr="00C62029" w:rsidRDefault="00463C2E" w:rsidP="0012388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C62029">
        <w:rPr>
          <w:rFonts w:ascii="Times New Roman" w:hAnsi="Times New Roman"/>
          <w:b/>
          <w:sz w:val="28"/>
          <w:szCs w:val="28"/>
        </w:rPr>
        <w:t>Артур Засєкін</w:t>
      </w:r>
      <w:r w:rsidRPr="00C62029">
        <w:rPr>
          <w:rFonts w:ascii="Times New Roman" w:hAnsi="Times New Roman"/>
          <w:b/>
          <w:sz w:val="28"/>
          <w:szCs w:val="28"/>
          <w:lang w:val="ru-RU"/>
        </w:rPr>
        <w:t xml:space="preserve">, </w:t>
      </w:r>
      <w:r w:rsidRPr="00C62029">
        <w:rPr>
          <w:rFonts w:ascii="Times New Roman" w:hAnsi="Times New Roman"/>
          <w:b/>
          <w:sz w:val="28"/>
          <w:szCs w:val="28"/>
        </w:rPr>
        <w:t>Тетяна Зарембюк</w:t>
      </w:r>
    </w:p>
    <w:p w:rsidR="00463C2E" w:rsidRPr="00C62029" w:rsidRDefault="00463C2E" w:rsidP="0012388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C62029">
        <w:rPr>
          <w:rFonts w:ascii="Times New Roman" w:hAnsi="Times New Roman"/>
          <w:b/>
          <w:sz w:val="28"/>
          <w:szCs w:val="28"/>
        </w:rPr>
        <w:t>(Луцьк, Україна)</w:t>
      </w:r>
    </w:p>
    <w:p w:rsidR="00463C2E" w:rsidRDefault="00463C2E" w:rsidP="00123883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3C2E" w:rsidRDefault="00463C2E" w:rsidP="00123883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23883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ЕТОДОЛОГІЧНІ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ЗАСАДИ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ДОСЛІДЖЕННЯ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ОСОБИСТОСТІ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ПІД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ЧАС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ВІРТУАЛЬНОГО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СПІЛКУВАННЯ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МЕЖАХ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</w:p>
    <w:p w:rsidR="00463C2E" w:rsidRDefault="00463C2E" w:rsidP="00123883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КУЛЬТУРНО</w:t>
      </w:r>
      <w:r w:rsidRPr="00123883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ІСТОРИЧНОЇ</w:t>
      </w:r>
      <w:r w:rsidRPr="001238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ТЕОРІЇ</w:t>
      </w:r>
    </w:p>
    <w:p w:rsidR="00463C2E" w:rsidRPr="00C62029" w:rsidRDefault="00463C2E" w:rsidP="00123883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>Результати теоретичного аналізу віртуального спілкування як такого, що має свою специфіку відповідно до цілі, змісту і засобів, а також позитивного/негативного впливу віртуального спілкування на особистість, дають змогу дійти висновку про те, що в умовах кіберпростору твориться і специфічна особистість – віртуальна. О. Асмолов зазначає, що попри важливість ґрунтовного наукового розуміння сутності віртуальної особистості, спостерігається відсутність комплексних досліджень із цієї проблеми. На думку вченого, першочерговим завданням у дослідженні конструкту «Я-медіа» є вибір методології, як останню автор пропонує культурно-історичну теорію.  Окрім цього науковець аналізує поняття, які є релевантними до віртуального спілкування. До таких понять належать віртуальний світ, віртуальна особистість, віртуальна платформа, віртуальна ідентичність. Слід зазначити, що основним особистісним конструктом, який найбільше досліджений з позиції віртуального спілкування, є особистісна ідентичність та її творення у віртуальному світі.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>Розглянемо основні положення культурно-історичної теорії як методологію дослідження особистісних трансформацій під час віртуального спілкування.</w:t>
      </w:r>
    </w:p>
    <w:p w:rsidR="00463C2E" w:rsidRPr="00123883" w:rsidRDefault="00463C2E" w:rsidP="00123883">
      <w:pPr>
        <w:pStyle w:val="1"/>
        <w:spacing w:line="360" w:lineRule="auto"/>
        <w:rPr>
          <w:sz w:val="28"/>
          <w:szCs w:val="28"/>
        </w:rPr>
      </w:pPr>
      <w:r w:rsidRPr="00123883">
        <w:rPr>
          <w:sz w:val="28"/>
          <w:szCs w:val="28"/>
        </w:rPr>
        <w:t>Найповніша реалізованість основних положень культурно-історичної теорії проглядається у контексті дискурсивної наукової парадигми. Ґрунтовний аналіз дискурсивної парадигми, яка у багатьох аспектах є дотичною до культурно-історичної теорії Л. Виготського, здійснюється у працях  Л. Засєкіної. Вчена зазначає, що на сучасному етапі розвитку психологічної думки дедалі поміт</w:t>
      </w:r>
      <w:r w:rsidRPr="00123883">
        <w:rPr>
          <w:sz w:val="28"/>
          <w:szCs w:val="28"/>
        </w:rPr>
        <w:softHyphen/>
        <w:t>нішою стає тенденція зміщення акцентів із когнітивного підходу до дослідження особистості, свідомості, психіки як центральних категорій психології до дискурсивного підходу, основоположною ідеєю якого є взаємозумовленість елементів діади «соціум-осо</w:t>
      </w:r>
      <w:r w:rsidRPr="00123883">
        <w:rPr>
          <w:sz w:val="28"/>
          <w:szCs w:val="28"/>
        </w:rPr>
        <w:softHyphen/>
        <w:t>бис</w:t>
      </w:r>
      <w:r w:rsidRPr="00123883">
        <w:rPr>
          <w:sz w:val="28"/>
          <w:szCs w:val="28"/>
        </w:rPr>
        <w:softHyphen/>
        <w:t xml:space="preserve">тість».  </w:t>
      </w:r>
    </w:p>
    <w:p w:rsidR="00463C2E" w:rsidRPr="00123883" w:rsidRDefault="00463C2E" w:rsidP="00123883">
      <w:pPr>
        <w:pStyle w:val="1"/>
        <w:spacing w:line="360" w:lineRule="auto"/>
        <w:rPr>
          <w:sz w:val="28"/>
          <w:szCs w:val="28"/>
        </w:rPr>
      </w:pPr>
      <w:r w:rsidRPr="00123883">
        <w:rPr>
          <w:sz w:val="28"/>
          <w:szCs w:val="28"/>
        </w:rPr>
        <w:t>З позиції цієї діади прояви  життя особистості  роз</w:t>
      </w:r>
      <w:r w:rsidRPr="00123883">
        <w:rPr>
          <w:sz w:val="28"/>
          <w:szCs w:val="28"/>
        </w:rPr>
        <w:softHyphen/>
        <w:t>глядаються у контексті соціальної взаємодії. У порівнянні з когні</w:t>
      </w:r>
      <w:r w:rsidRPr="00123883">
        <w:rPr>
          <w:sz w:val="28"/>
          <w:szCs w:val="28"/>
        </w:rPr>
        <w:softHyphen/>
        <w:t xml:space="preserve">тивним, дискурсивний підхід тлумачить суть розумових конструктів не через універсальні дії, що ґрунтуються на стійких категоріальних утвореннях (фреймах, схемах, схематах, скриптах, сценаріях), а через міжособистісну взаємодію, що визначається конкретним національно-культурним простором і відповідним контекстом. </w:t>
      </w:r>
    </w:p>
    <w:p w:rsidR="00463C2E" w:rsidRPr="00123883" w:rsidRDefault="00463C2E" w:rsidP="00123883">
      <w:pPr>
        <w:pStyle w:val="1"/>
        <w:spacing w:line="360" w:lineRule="auto"/>
        <w:rPr>
          <w:sz w:val="28"/>
          <w:szCs w:val="28"/>
        </w:rPr>
      </w:pPr>
      <w:r w:rsidRPr="00123883">
        <w:rPr>
          <w:sz w:val="28"/>
          <w:szCs w:val="28"/>
        </w:rPr>
        <w:t xml:space="preserve">  Дискурсивна психологія, як і когнітивна, тлумачиться як революція і парадигма, що встановлюються не лише внаслідок плідної праці сучасних науковців, а такі, що беруть початок у класиці вітчизняної психології, представленої в </w:t>
      </w:r>
      <w:r>
        <w:rPr>
          <w:sz w:val="28"/>
          <w:szCs w:val="28"/>
        </w:rPr>
        <w:t>працях Л.  Вигот</w:t>
      </w:r>
      <w:r>
        <w:rPr>
          <w:sz w:val="28"/>
          <w:szCs w:val="28"/>
        </w:rPr>
        <w:softHyphen/>
        <w:t>ського</w:t>
      </w:r>
      <w:r w:rsidRPr="00123883">
        <w:rPr>
          <w:sz w:val="28"/>
          <w:szCs w:val="28"/>
        </w:rPr>
        <w:t xml:space="preserve">. Л. Виготський у своїй теорії  акцентує на соціальній опосередкованій природі психіки людини. Опосередкованість психіки визначається мовою, яка, як знакова система, є сукупністю важливих психологічних знарядь для соціальної взаємодії. Тому вивчити психіку можна, лише встановивши механізм її опосередкованості через функціонування мови. Найважливішою ідеєю культурно-історичної теорії Л. Виготського є інтеріоризованість психічних утворень, які проходять кілька стадій від екстеріоризованих дій. Інтеріоризовані психічні структури завжди визначаються соціальною взаємодією, саме остання задає вектор здійснення інтеріоризації. </w:t>
      </w:r>
    </w:p>
    <w:p w:rsidR="00463C2E" w:rsidRPr="00123883" w:rsidRDefault="00463C2E" w:rsidP="00123883">
      <w:pPr>
        <w:pStyle w:val="1"/>
        <w:spacing w:line="360" w:lineRule="auto"/>
        <w:rPr>
          <w:sz w:val="28"/>
          <w:szCs w:val="28"/>
        </w:rPr>
      </w:pPr>
      <w:r w:rsidRPr="00123883">
        <w:rPr>
          <w:sz w:val="28"/>
          <w:szCs w:val="28"/>
        </w:rPr>
        <w:t>У цьому положенні культурно-історична теорія збігається із сучасним підходом дискурсивної парадигми – соціаль</w:t>
      </w:r>
      <w:r w:rsidRPr="00123883">
        <w:rPr>
          <w:sz w:val="28"/>
          <w:szCs w:val="28"/>
        </w:rPr>
        <w:softHyphen/>
      </w:r>
      <w:r w:rsidRPr="00123883">
        <w:rPr>
          <w:spacing w:val="-4"/>
          <w:sz w:val="28"/>
          <w:szCs w:val="28"/>
        </w:rPr>
        <w:t>ним конструкціонізмом. Відповідно до соціального конструкціонізму особистість та соціум –</w:t>
      </w:r>
      <w:r w:rsidRPr="00123883">
        <w:rPr>
          <w:sz w:val="28"/>
          <w:szCs w:val="28"/>
        </w:rPr>
        <w:t xml:space="preserve"> не апріорні категорії, а інтерактивні конструкти, що утворюються дискурсивно завдяки наявності актуальних соціальних дискурсивних практик у суспільстві. За Н. Чепелєвою, найчастотнішими у межах сучасного суспільства, є такі дискурси: освітній, літературний, фольклорний і казковий, сімейний, професійний, гендерний, спортивний і політичний дискурси [185].</w:t>
      </w:r>
    </w:p>
    <w:p w:rsidR="00463C2E" w:rsidRPr="00123883" w:rsidRDefault="00463C2E" w:rsidP="00123883">
      <w:pPr>
        <w:pStyle w:val="1"/>
        <w:spacing w:line="360" w:lineRule="auto"/>
        <w:rPr>
          <w:sz w:val="28"/>
          <w:szCs w:val="28"/>
        </w:rPr>
      </w:pPr>
      <w:r w:rsidRPr="00123883">
        <w:rPr>
          <w:sz w:val="28"/>
          <w:szCs w:val="28"/>
        </w:rPr>
        <w:t>Основоположним поняттям є порядок дискур</w:t>
      </w:r>
      <w:r w:rsidRPr="00123883">
        <w:rPr>
          <w:sz w:val="28"/>
          <w:szCs w:val="28"/>
        </w:rPr>
        <w:softHyphen/>
        <w:t xml:space="preserve">сів, який установлюється внаслідок їх боротьби. Ґрунтовний аналіз змісту цих дискурсів дає змогу встановити межі кожного з них, а також виявити панівний дискурс, який, за умови підкріплення ЗМІ, виражає домінуючу суспільну практику. Соціальний конструкціонізм як яскраве вираження дискурсивної парадигми чільним принципом уважає конструювання особистості у конкретних умовах її життєздійснення. Таким чином, послуговуючись ідеями соціального конструкціонізму, можна стверджувати, що перебуваючи в умовах віртуального спілкування, конструюється особлива особистість – віртуальна. 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>Подібної думки дотримується О. Асмолов, у медіа-просторі спостерігається входження віртуального простору в особистісний простір: «…це означає, що не лише ми вриваємося у віртуальний світ своєю ідентичністю, а й віртуальний світ вривається у нас, добудовуючи і перебудовуючи простір наш</w:t>
      </w:r>
      <w:r>
        <w:rPr>
          <w:rFonts w:ascii="Times New Roman" w:hAnsi="Times New Roman"/>
          <w:sz w:val="28"/>
          <w:szCs w:val="28"/>
        </w:rPr>
        <w:t>ого Я»</w:t>
      </w:r>
      <w:r w:rsidRPr="00123883">
        <w:rPr>
          <w:rFonts w:ascii="Times New Roman" w:hAnsi="Times New Roman"/>
          <w:sz w:val="28"/>
          <w:szCs w:val="28"/>
        </w:rPr>
        <w:t xml:space="preserve">. 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 xml:space="preserve">Серед основних принципів культурно-історичної теорії, які підпорядковуються логіці дискурсивної парадигми та соціального конструкціонізму, вважаємо принцип єдності свідомості і діяльності, принцип розвитку, а також принцип системності. 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 xml:space="preserve">Відповідно до принципу єдності свідомості і діяльності, віртуальне спілкування розглядаємо як своєрідний вид діяльності, що складається із низки дій, спрямованих на обробку інформації. Послуговуючись концептуальними межами поняття «Інтернет-грамотність», обробка інформації тлумачиться нами як </w:t>
      </w:r>
      <w:r w:rsidRPr="00123883">
        <w:rPr>
          <w:rFonts w:ascii="Times New Roman" w:hAnsi="Times New Roman"/>
          <w:sz w:val="28"/>
        </w:rPr>
        <w:t>пошук необхідних даних, відомостей, критичне осмислення, збереження і використання інформації.</w:t>
      </w:r>
      <w:r w:rsidRPr="00123883">
        <w:rPr>
          <w:rFonts w:ascii="Times New Roman" w:hAnsi="Times New Roman"/>
          <w:sz w:val="28"/>
          <w:szCs w:val="28"/>
        </w:rPr>
        <w:t xml:space="preserve"> Важливою думкою у використанні цього принципу є ідея О. Леонтьєва про значеннєву природу людської свідомості, її смислову сутність, яка дає змогу відображати світ як «значення значення».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883">
        <w:rPr>
          <w:rFonts w:ascii="Times New Roman" w:hAnsi="Times New Roman"/>
          <w:sz w:val="28"/>
          <w:szCs w:val="28"/>
        </w:rPr>
        <w:t xml:space="preserve"> Продовжуючи цю ідею, можна припустити, що віртуальна свідомість характеризується вже потрійністю значення, адже за О.  Асмоловим, виклад подій у віртуальному просторі – це конструкція оточуючого світу, яка вже охоплює не лише цей світ, а й нас самих </w:t>
      </w:r>
      <w:r w:rsidRPr="00123883">
        <w:rPr>
          <w:rFonts w:ascii="Times New Roman" w:hAnsi="Times New Roman"/>
          <w:spacing w:val="-6"/>
          <w:sz w:val="28"/>
          <w:szCs w:val="28"/>
        </w:rPr>
        <w:t>[</w:t>
      </w:r>
      <w:r w:rsidRPr="00123883">
        <w:rPr>
          <w:rFonts w:ascii="Times New Roman" w:hAnsi="Times New Roman"/>
          <w:spacing w:val="-6"/>
          <w:sz w:val="28"/>
          <w:szCs w:val="28"/>
          <w:lang w:val="ru-RU"/>
        </w:rPr>
        <w:t>13</w:t>
      </w:r>
      <w:r w:rsidRPr="00123883">
        <w:rPr>
          <w:rFonts w:ascii="Times New Roman" w:hAnsi="Times New Roman"/>
          <w:spacing w:val="-6"/>
          <w:sz w:val="28"/>
          <w:szCs w:val="28"/>
        </w:rPr>
        <w:t>, с. 11</w:t>
      </w:r>
      <w:r w:rsidRPr="00123883">
        <w:rPr>
          <w:rFonts w:ascii="Times New Roman" w:hAnsi="Times New Roman"/>
          <w:sz w:val="28"/>
          <w:szCs w:val="28"/>
        </w:rPr>
        <w:t xml:space="preserve">]. 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>Таким чином, у віртуальному спілкуванні як своєрідній формі  діяльності відображається форма свідомості, що спершу відображає фізичний світ, по-друге, фіксує це відображення у мовні значення, а по-третє, пропускаючи ці значення крізь призму особистості, викладає їх у віртуальному просторі. З цього погляду, за О. Асмоловим, кожна віртуальна особистість – це свого роду журналіст, провідна ідея якого –  кваліфікована робота з інформацією.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3883">
        <w:rPr>
          <w:rFonts w:ascii="Times New Roman" w:hAnsi="Times New Roman"/>
          <w:sz w:val="28"/>
          <w:szCs w:val="28"/>
        </w:rPr>
        <w:t>Конструювання віртуального «Я» завжди потребує активного пошуку інформації для її адекватної передачі в Інтернет-просторі.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>Принцип розвитку передбачає урахування вікових особливостей особистості, встановлення зон її найближчого розвитку. Досліджуючи студентів – осіб юнацького віку у контексті дискурсивної парадигми, вважаємо, що провідними дискурсами, які визначатимуть психічний розвиток цих осіб, є освітній, професійний, сімейний, гендерний дискурси. Освітній дискурс реалізується у провідній діяльності осіб цієї вікової групи – навчальної і навчально-професійної. Саме у цей вік відбувається професійне самовизначення як результат усвідомлення власних здібностей і уподобань. У ранній юності зазвичай здійснюється самовизначення, тоді як у період студентства таке професійне самовизначення вже реалізується протягом навчальної діяльності у вищому навчальному закладі. Враховуючи реалізацію інформаційно-пізнавальної функції в умовах віртуального спілкування, можемо вважати, що кібер-простір допомагає юнакам оволодівати значними масивами інформації на шляху фахової підготовки.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 xml:space="preserve">Сімейний дискурс осіб юнацького віку полягає у наближенні до сімейних стосунків порівняно із підлітками, оскільки зникає надлишковий негативізм. Водночас завищена самооцінка, дія ретроспективних чинників  полягають у  становленні юнака як такого, що вже не дитина, але й ще не дорослий.   Такі обставини породжують часто нетерпимість до найближчого оточення, що може руйнувати стосунки з батьками. На наш погляд, віртуальне спілкування, особливо, якщо воно є надто інтенсивним, також не сприяє покращенню відносин із батьками. Адже реальні міжособистісні відносини у сім’ї замінюються на віртуальне спілкування з ровесниками. Більше того, спроби батьків протистояти психофізичному </w:t>
      </w:r>
      <w:r>
        <w:rPr>
          <w:rFonts w:ascii="Times New Roman" w:hAnsi="Times New Roman"/>
          <w:sz w:val="28"/>
          <w:szCs w:val="28"/>
        </w:rPr>
        <w:pgNum/>
      </w:r>
      <w:r>
        <w:rPr>
          <w:rFonts w:ascii="Times New Roman" w:hAnsi="Times New Roman"/>
          <w:sz w:val="28"/>
          <w:szCs w:val="28"/>
        </w:rPr>
        <w:t>зд</w:t>
      </w:r>
      <w:r>
        <w:rPr>
          <w:rFonts w:ascii="Times New Roman" w:hAnsi="Times New Roman"/>
          <w:sz w:val="28"/>
          <w:szCs w:val="28"/>
        </w:rPr>
        <w:pgNum/>
      </w:r>
      <w:r>
        <w:rPr>
          <w:rFonts w:ascii="Times New Roman" w:hAnsi="Times New Roman"/>
          <w:sz w:val="28"/>
          <w:szCs w:val="28"/>
        </w:rPr>
        <w:t>ологи</w:t>
      </w:r>
      <w:r w:rsidRPr="00123883">
        <w:rPr>
          <w:rFonts w:ascii="Times New Roman" w:hAnsi="Times New Roman"/>
          <w:sz w:val="28"/>
          <w:szCs w:val="28"/>
        </w:rPr>
        <w:t xml:space="preserve"> юнаків часто зустрічають опір з боку останніх.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 xml:space="preserve">Гендерний дискурс є дуже важливим у юнацькому віці, адже саме в цей період завершуються процеси фізичного дозрівання і з’являється фізична зрілість, яка зумовлена статевою зрілістю. На думку І. Кона, в юнацькому віці спостерігається роздвоєність психосексуальних орієнтацій. Так, з одного боку, в юнацькому віці з’являється романтизм, високі почуття до коханої людини, які мають переважно дексексуалізований характер. А з іншого боку, еротичні фантазії проектуються на реальний об’єкт, який позбавлений особистісних рис і властивостей. Гендерна ідентифікація відіграє велику роль в юнацькому віці. Важливим є те, що саме у цей період ознаки фемінності і маскулінності найбільшою мірою ідентифікуються юнаками і вони починають відігравати відповідні гендерні ролі. 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>Таким чином, принцип розвитку у контексті підходу соціального конструкціонізму і дискурсивної парадигми загалом дає змогу простежити вплив актуальних для юнацького віку дискурсів та роль віртуального спілкування у розвитку особистості зазначеного вікового періоду.</w:t>
      </w:r>
    </w:p>
    <w:p w:rsidR="00463C2E" w:rsidRPr="00123883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>Принцип системності, за С. Максименко,  передбачає розгляд будь-якого психічного явища як системного цілого. Важливим при цьому є вибір системи, у межах якого психічне явище вивчається. Відповідно до цього принципу особистісні трансформації в умовах віртуального спілкування слід вивчати з урахуванням особистості як складної системи, що утворюється взаємодією пізнавальної, мотиваційної і емоційної сфер.</w:t>
      </w:r>
    </w:p>
    <w:p w:rsidR="00463C2E" w:rsidRDefault="00463C2E" w:rsidP="00123883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3883">
        <w:rPr>
          <w:rFonts w:ascii="Times New Roman" w:hAnsi="Times New Roman"/>
          <w:sz w:val="28"/>
          <w:szCs w:val="28"/>
        </w:rPr>
        <w:t>Таким чином, використання культурно-історичної теорії у вивченні особистості в умовах віртуального спілкування втілюються у такі методологічні рівні запропонованого дослідження</w:t>
      </w:r>
      <w:r>
        <w:rPr>
          <w:rFonts w:ascii="Times New Roman" w:hAnsi="Times New Roman"/>
          <w:sz w:val="28"/>
          <w:szCs w:val="28"/>
        </w:rPr>
        <w:t>.</w:t>
      </w:r>
    </w:p>
    <w:p w:rsidR="00463C2E" w:rsidRDefault="00463C2E" w:rsidP="00C62029">
      <w:pPr>
        <w:spacing w:after="0" w:line="360" w:lineRule="auto"/>
        <w:ind w:firstLine="540"/>
        <w:rPr>
          <w:rFonts w:ascii="Times New Roman" w:hAnsi="Times New Roman"/>
          <w:b/>
          <w:sz w:val="28"/>
          <w:szCs w:val="28"/>
        </w:rPr>
      </w:pPr>
      <w:r w:rsidRPr="00FD6B10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63C2E" w:rsidRPr="00465BD5" w:rsidRDefault="00463C2E" w:rsidP="00465BD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Style w:val="postbody1"/>
          <w:rFonts w:ascii="Times New Roman" w:hAnsi="Times New Roman"/>
          <w:sz w:val="28"/>
          <w:szCs w:val="28"/>
        </w:rPr>
      </w:pPr>
      <w:r w:rsidRPr="00465BD5">
        <w:rPr>
          <w:rStyle w:val="postbody1"/>
          <w:rFonts w:ascii="Times New Roman" w:hAnsi="Times New Roman"/>
          <w:sz w:val="28"/>
          <w:szCs w:val="28"/>
        </w:rPr>
        <w:t>Абульханова-Славская К. А. Деятел</w:t>
      </w:r>
      <w:r>
        <w:rPr>
          <w:rStyle w:val="postbody1"/>
          <w:rFonts w:ascii="Times New Roman" w:hAnsi="Times New Roman"/>
          <w:sz w:val="28"/>
          <w:szCs w:val="28"/>
        </w:rPr>
        <w:t xml:space="preserve">ьность и психология личности / </w:t>
      </w:r>
      <w:r w:rsidRPr="00465BD5">
        <w:rPr>
          <w:rStyle w:val="postbody1"/>
          <w:rFonts w:ascii="Times New Roman" w:hAnsi="Times New Roman"/>
          <w:sz w:val="28"/>
          <w:szCs w:val="28"/>
        </w:rPr>
        <w:t xml:space="preserve">К. А. Абульханова-Славская; АН СССР; Ин-т </w:t>
      </w:r>
      <w:r>
        <w:rPr>
          <w:rStyle w:val="postbody1"/>
          <w:rFonts w:ascii="Times New Roman" w:hAnsi="Times New Roman"/>
          <w:sz w:val="28"/>
          <w:szCs w:val="28"/>
        </w:rPr>
        <w:pgNum/>
      </w:r>
      <w:r>
        <w:rPr>
          <w:rStyle w:val="postbody1"/>
          <w:rFonts w:ascii="Times New Roman" w:hAnsi="Times New Roman"/>
          <w:sz w:val="28"/>
          <w:szCs w:val="28"/>
        </w:rPr>
        <w:t>зд</w:t>
      </w:r>
      <w:r>
        <w:rPr>
          <w:rStyle w:val="postbody1"/>
          <w:rFonts w:ascii="Times New Roman" w:hAnsi="Times New Roman"/>
          <w:sz w:val="28"/>
          <w:szCs w:val="28"/>
        </w:rPr>
        <w:pgNum/>
      </w:r>
      <w:r>
        <w:rPr>
          <w:rStyle w:val="postbody1"/>
          <w:rFonts w:ascii="Times New Roman" w:hAnsi="Times New Roman"/>
          <w:sz w:val="28"/>
          <w:szCs w:val="28"/>
        </w:rPr>
        <w:t>ологи</w:t>
      </w:r>
      <w:r w:rsidRPr="00465BD5">
        <w:rPr>
          <w:rStyle w:val="postbody1"/>
          <w:rFonts w:ascii="Times New Roman" w:hAnsi="Times New Roman"/>
          <w:sz w:val="28"/>
          <w:szCs w:val="28"/>
        </w:rPr>
        <w:t>. – М. : Наука, 1980. – 335 с.</w:t>
      </w:r>
    </w:p>
    <w:p w:rsidR="00463C2E" w:rsidRPr="00465BD5" w:rsidRDefault="00463C2E" w:rsidP="00465BD5">
      <w:pPr>
        <w:numPr>
          <w:ilvl w:val="0"/>
          <w:numId w:val="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5BD5">
        <w:rPr>
          <w:rFonts w:ascii="Times New Roman" w:hAnsi="Times New Roman"/>
          <w:sz w:val="28"/>
          <w:szCs w:val="28"/>
        </w:rPr>
        <w:t xml:space="preserve">Андреева Г. М. Социальная психология: Учебник для высших учебных заведений / Г. М. Андреева. – 5-е </w:t>
      </w:r>
      <w:r>
        <w:rPr>
          <w:rFonts w:ascii="Times New Roman" w:hAnsi="Times New Roman"/>
          <w:sz w:val="28"/>
          <w:szCs w:val="28"/>
        </w:rPr>
        <w:pgNum/>
      </w:r>
      <w:r>
        <w:rPr>
          <w:rFonts w:ascii="Times New Roman" w:hAnsi="Times New Roman"/>
          <w:sz w:val="28"/>
          <w:szCs w:val="28"/>
        </w:rPr>
        <w:t>зд</w:t>
      </w:r>
      <w:r w:rsidRPr="00465BD5">
        <w:rPr>
          <w:rFonts w:ascii="Times New Roman" w:hAnsi="Times New Roman"/>
          <w:sz w:val="28"/>
          <w:szCs w:val="28"/>
        </w:rPr>
        <w:t xml:space="preserve">., испр. И доп. – М. : Аспект Пресс, 2004. – 365 с. </w:t>
      </w:r>
    </w:p>
    <w:p w:rsidR="00463C2E" w:rsidRPr="00465BD5" w:rsidRDefault="00463C2E" w:rsidP="00465BD5">
      <w:pPr>
        <w:numPr>
          <w:ilvl w:val="0"/>
          <w:numId w:val="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5BD5">
        <w:rPr>
          <w:rFonts w:ascii="Times New Roman" w:hAnsi="Times New Roman"/>
          <w:sz w:val="28"/>
          <w:szCs w:val="28"/>
        </w:rPr>
        <w:t xml:space="preserve">Бодалев А. А. Психология общения. Избранные психологические труды / А. А. Бодалев. – 3-е </w:t>
      </w:r>
      <w:r>
        <w:rPr>
          <w:rFonts w:ascii="Times New Roman" w:hAnsi="Times New Roman"/>
          <w:sz w:val="28"/>
          <w:szCs w:val="28"/>
        </w:rPr>
        <w:pgNum/>
      </w:r>
      <w:r>
        <w:rPr>
          <w:rFonts w:ascii="Times New Roman" w:hAnsi="Times New Roman"/>
          <w:sz w:val="28"/>
          <w:szCs w:val="28"/>
        </w:rPr>
        <w:t>зд</w:t>
      </w:r>
      <w:r w:rsidRPr="00465BD5">
        <w:rPr>
          <w:rFonts w:ascii="Times New Roman" w:hAnsi="Times New Roman"/>
          <w:sz w:val="28"/>
          <w:szCs w:val="28"/>
        </w:rPr>
        <w:t>., перераб. И доп. – М.</w:t>
      </w:r>
      <w:r w:rsidRPr="00465BD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65BD5">
        <w:rPr>
          <w:rFonts w:ascii="Times New Roman" w:hAnsi="Times New Roman"/>
          <w:sz w:val="28"/>
          <w:szCs w:val="28"/>
        </w:rPr>
        <w:t xml:space="preserve">: Изд-во МПСИ, 2002. – </w:t>
      </w:r>
      <w:r w:rsidRPr="00465BD5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465BD5">
        <w:rPr>
          <w:rFonts w:ascii="Times New Roman" w:hAnsi="Times New Roman"/>
          <w:sz w:val="28"/>
          <w:szCs w:val="28"/>
        </w:rPr>
        <w:t>320 с.</w:t>
      </w:r>
    </w:p>
    <w:p w:rsidR="00463C2E" w:rsidRPr="00465BD5" w:rsidRDefault="00463C2E" w:rsidP="00465BD5">
      <w:pPr>
        <w:numPr>
          <w:ilvl w:val="0"/>
          <w:numId w:val="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5BD5">
        <w:rPr>
          <w:rFonts w:ascii="Times New Roman" w:hAnsi="Times New Roman"/>
          <w:sz w:val="28"/>
          <w:szCs w:val="28"/>
        </w:rPr>
        <w:t>Вашека Т. В. Психологія спілкування [Текст] : навч.-метод. Комплекс / Т. В. Вашека, І. С. Гічан. – К. : Книжкове вид-во НАУ, 2006. – 184 с.</w:t>
      </w:r>
    </w:p>
    <w:p w:rsidR="00463C2E" w:rsidRPr="00465BD5" w:rsidRDefault="00463C2E" w:rsidP="00465BD5">
      <w:pPr>
        <w:numPr>
          <w:ilvl w:val="0"/>
          <w:numId w:val="2"/>
        </w:numPr>
        <w:tabs>
          <w:tab w:val="left" w:pos="540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5BD5">
        <w:rPr>
          <w:rFonts w:ascii="Times New Roman" w:hAnsi="Times New Roman"/>
          <w:sz w:val="28"/>
          <w:szCs w:val="28"/>
        </w:rPr>
        <w:t>Засєкіна Л.</w:t>
      </w:r>
      <w:r w:rsidRPr="00465BD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65BD5">
        <w:rPr>
          <w:rFonts w:ascii="Times New Roman" w:hAnsi="Times New Roman"/>
          <w:sz w:val="28"/>
          <w:szCs w:val="28"/>
        </w:rPr>
        <w:t>В. Структурно-функціональна організація інтелекту особистості. – Острог : Нац. Ун-т «Острозька академія», 2005. – 370 с.</w:t>
      </w:r>
    </w:p>
    <w:p w:rsidR="00463C2E" w:rsidRPr="00465BD5" w:rsidRDefault="00463C2E" w:rsidP="00465BD5">
      <w:pPr>
        <w:numPr>
          <w:ilvl w:val="0"/>
          <w:numId w:val="2"/>
        </w:numPr>
        <w:tabs>
          <w:tab w:val="left" w:pos="540"/>
        </w:tabs>
        <w:suppressAutoHyphens/>
        <w:spacing w:after="0" w:line="360" w:lineRule="auto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465BD5">
        <w:rPr>
          <w:rStyle w:val="apple-style-span"/>
          <w:rFonts w:ascii="Times New Roman" w:hAnsi="Times New Roman"/>
          <w:sz w:val="28"/>
          <w:szCs w:val="28"/>
        </w:rPr>
        <w:t>Капрара Дж. Психология личности [Текст] / Дж. Капрара, Д. Сервон. – СПб. : Питер, 2003. – 640 с.</w:t>
      </w:r>
    </w:p>
    <w:p w:rsidR="00463C2E" w:rsidRPr="00465BD5" w:rsidRDefault="00463C2E" w:rsidP="00465BD5">
      <w:pPr>
        <w:numPr>
          <w:ilvl w:val="0"/>
          <w:numId w:val="2"/>
        </w:numPr>
        <w:tabs>
          <w:tab w:val="left" w:pos="540"/>
        </w:tabs>
        <w:suppressAutoHyphens/>
        <w:spacing w:after="0" w:line="360" w:lineRule="auto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465BD5">
        <w:rPr>
          <w:rStyle w:val="apple-style-span"/>
          <w:rFonts w:ascii="Times New Roman" w:hAnsi="Times New Roman"/>
          <w:sz w:val="28"/>
          <w:szCs w:val="28"/>
        </w:rPr>
        <w:t>Кон И. С. Социология личности [Текст] / И. С. Кон. – М. : Политиздат, 1967. – С. 132-141.</w:t>
      </w:r>
    </w:p>
    <w:p w:rsidR="00463C2E" w:rsidRDefault="00463C2E" w:rsidP="00465BD5">
      <w:pPr>
        <w:pStyle w:val="ListParagraph"/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463C2E" w:rsidRDefault="00463C2E" w:rsidP="00465BD5">
      <w:pPr>
        <w:pStyle w:val="ListParagraph"/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463C2E" w:rsidRDefault="00463C2E" w:rsidP="00465BD5">
      <w:pPr>
        <w:pStyle w:val="ListParagraph"/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463C2E" w:rsidRDefault="00463C2E" w:rsidP="00465BD5">
      <w:pPr>
        <w:pStyle w:val="ListParagraph"/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63C2E" w:rsidRDefault="00463C2E" w:rsidP="00465BD5">
      <w:pPr>
        <w:pStyle w:val="ListParagraph"/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463C2E" w:rsidRDefault="00463C2E" w:rsidP="00465BD5">
      <w:pPr>
        <w:pStyle w:val="ListParagraph"/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463C2E" w:rsidRDefault="00463C2E" w:rsidP="00465BD5">
      <w:pPr>
        <w:pStyle w:val="ListParagraph"/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463C2E" w:rsidRDefault="00463C2E" w:rsidP="00465BD5">
      <w:pPr>
        <w:pStyle w:val="ListParagraph"/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</w:rPr>
      </w:pPr>
    </w:p>
    <w:p w:rsidR="00463C2E" w:rsidRPr="00465BD5" w:rsidRDefault="00463C2E" w:rsidP="00465BD5">
      <w:pPr>
        <w:pStyle w:val="ListParagraph"/>
        <w:spacing w:after="0" w:line="360" w:lineRule="auto"/>
        <w:ind w:left="900"/>
        <w:jc w:val="right"/>
        <w:rPr>
          <w:rFonts w:ascii="Times New Roman" w:hAnsi="Times New Roman"/>
          <w:sz w:val="28"/>
          <w:szCs w:val="28"/>
        </w:rPr>
      </w:pPr>
    </w:p>
    <w:sectPr w:rsidR="00463C2E" w:rsidRPr="00465BD5" w:rsidSect="00F46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cs="Times New Roman"/>
      </w:rPr>
    </w:lvl>
  </w:abstractNum>
  <w:abstractNum w:abstractNumId="1">
    <w:nsid w:val="5E180AC1"/>
    <w:multiLevelType w:val="hybridMultilevel"/>
    <w:tmpl w:val="C92046AA"/>
    <w:lvl w:ilvl="0" w:tplc="B3D0E4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7FDA1704"/>
    <w:multiLevelType w:val="hybridMultilevel"/>
    <w:tmpl w:val="3800D4E8"/>
    <w:lvl w:ilvl="0" w:tplc="7BFA950A">
      <w:start w:val="1"/>
      <w:numFmt w:val="decimal"/>
      <w:lvlText w:val="2.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7E8"/>
    <w:rsid w:val="000105A0"/>
    <w:rsid w:val="00123883"/>
    <w:rsid w:val="00463C2E"/>
    <w:rsid w:val="00465BD5"/>
    <w:rsid w:val="00C62029"/>
    <w:rsid w:val="00DC25E4"/>
    <w:rsid w:val="00F027E8"/>
    <w:rsid w:val="00F4690C"/>
    <w:rsid w:val="00FD6B10"/>
    <w:rsid w:val="00FF7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9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BodyTextIndent"/>
    <w:link w:val="10"/>
    <w:uiPriority w:val="99"/>
    <w:rsid w:val="00123883"/>
    <w:pPr>
      <w:spacing w:after="0" w:line="240" w:lineRule="auto"/>
      <w:ind w:left="0" w:firstLine="567"/>
      <w:jc w:val="both"/>
    </w:pPr>
    <w:rPr>
      <w:rFonts w:ascii="Times New Roman" w:eastAsia="Times New Roman" w:hAnsi="Times New Roman"/>
      <w:sz w:val="32"/>
      <w:szCs w:val="32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123883"/>
    <w:rPr>
      <w:rFonts w:ascii="Times New Roman" w:hAnsi="Times New Roman" w:cs="Times New Roman"/>
      <w:sz w:val="32"/>
      <w:szCs w:val="32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12388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23883"/>
    <w:rPr>
      <w:rFonts w:cs="Times New Roman"/>
    </w:rPr>
  </w:style>
  <w:style w:type="paragraph" w:styleId="ListParagraph">
    <w:name w:val="List Paragraph"/>
    <w:basedOn w:val="Normal"/>
    <w:uiPriority w:val="99"/>
    <w:qFormat/>
    <w:rsid w:val="00465BD5"/>
    <w:pPr>
      <w:ind w:left="720"/>
      <w:contextualSpacing/>
    </w:pPr>
  </w:style>
  <w:style w:type="character" w:customStyle="1" w:styleId="postbody1">
    <w:name w:val="postbody1"/>
    <w:basedOn w:val="DefaultParagraphFont"/>
    <w:uiPriority w:val="99"/>
    <w:rsid w:val="00465BD5"/>
    <w:rPr>
      <w:rFonts w:cs="Times New Roman"/>
      <w:sz w:val="18"/>
      <w:szCs w:val="18"/>
    </w:rPr>
  </w:style>
  <w:style w:type="character" w:customStyle="1" w:styleId="apple-style-span">
    <w:name w:val="apple-style-span"/>
    <w:basedOn w:val="DefaultParagraphFont"/>
    <w:uiPriority w:val="99"/>
    <w:rsid w:val="00465BD5"/>
    <w:rPr>
      <w:rFonts w:cs="Times New Roman"/>
    </w:rPr>
  </w:style>
  <w:style w:type="character" w:styleId="Hyperlink">
    <w:name w:val="Hyperlink"/>
    <w:basedOn w:val="DefaultParagraphFont"/>
    <w:uiPriority w:val="99"/>
    <w:rsid w:val="00465BD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6</Pages>
  <Words>6784</Words>
  <Characters>3868</Characters>
  <Application>Microsoft Office Outlook</Application>
  <DocSecurity>0</DocSecurity>
  <Lines>0</Lines>
  <Paragraphs>0</Paragraphs>
  <ScaleCrop>false</ScaleCrop>
  <Company>ЛБI МНТУ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Гнатюк Н.Є.</dc:creator>
  <cp:keywords/>
  <dc:description/>
  <cp:lastModifiedBy>Admin</cp:lastModifiedBy>
  <cp:revision>3</cp:revision>
  <dcterms:created xsi:type="dcterms:W3CDTF">2014-01-29T10:58:00Z</dcterms:created>
  <dcterms:modified xsi:type="dcterms:W3CDTF">2014-01-29T13:57:00Z</dcterms:modified>
</cp:coreProperties>
</file>